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40A" w:rsidRDefault="0004040A" w:rsidP="000404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2F74EF">
        <w:rPr>
          <w:rFonts w:ascii="Times New Roman" w:hAnsi="Times New Roman" w:cs="Times New Roman"/>
          <w:sz w:val="24"/>
          <w:szCs w:val="24"/>
        </w:rPr>
        <w:t>униципальное бюджетное учреждение культуры</w:t>
      </w:r>
    </w:p>
    <w:p w:rsidR="0004040A" w:rsidRDefault="0004040A" w:rsidP="0004040A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F74EF">
        <w:rPr>
          <w:rFonts w:ascii="Times New Roman" w:hAnsi="Times New Roman" w:cs="Times New Roman"/>
          <w:sz w:val="24"/>
          <w:szCs w:val="24"/>
        </w:rPr>
        <w:t>«Межпоселенческая библиотека муниципального образования „Выборгский район“ Ленинградской области»</w:t>
      </w:r>
    </w:p>
    <w:p w:rsidR="0004040A" w:rsidRPr="002F74EF" w:rsidRDefault="0004040A" w:rsidP="000404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Методико-библиографический отдел</w:t>
      </w:r>
    </w:p>
    <w:p w:rsidR="0004040A" w:rsidRDefault="0004040A" w:rsidP="0004040A">
      <w:pPr>
        <w:rPr>
          <w:rFonts w:ascii="Times New Roman" w:hAnsi="Times New Roman" w:cs="Times New Roman"/>
          <w:sz w:val="24"/>
          <w:szCs w:val="24"/>
        </w:rPr>
      </w:pPr>
    </w:p>
    <w:p w:rsidR="0004040A" w:rsidRDefault="0004040A" w:rsidP="000404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040A" w:rsidRDefault="0004040A" w:rsidP="0004040A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</w:p>
    <w:p w:rsidR="0004040A" w:rsidRDefault="0004040A" w:rsidP="0004040A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</w:p>
    <w:p w:rsidR="0004040A" w:rsidRDefault="0004040A" w:rsidP="0004040A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</w:p>
    <w:p w:rsidR="0004040A" w:rsidRDefault="0004040A" w:rsidP="0004040A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</w:p>
    <w:p w:rsidR="0004040A" w:rsidRDefault="0004040A" w:rsidP="0004040A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</w:p>
    <w:p w:rsidR="0004040A" w:rsidRDefault="0004040A" w:rsidP="0004040A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  <w:r w:rsidRPr="002F74EF">
        <w:rPr>
          <w:rFonts w:ascii="Times New Roman" w:hAnsi="Times New Roman" w:cs="Times New Roman"/>
          <w:sz w:val="36"/>
          <w:szCs w:val="24"/>
        </w:rPr>
        <w:t>Методические рекомендации для общедоступных библиотек</w:t>
      </w:r>
      <w:r>
        <w:rPr>
          <w:rFonts w:ascii="Times New Roman" w:hAnsi="Times New Roman" w:cs="Times New Roman"/>
          <w:sz w:val="36"/>
          <w:szCs w:val="24"/>
        </w:rPr>
        <w:t xml:space="preserve"> </w:t>
      </w:r>
      <w:r w:rsidRPr="002F74EF">
        <w:rPr>
          <w:rFonts w:ascii="Times New Roman" w:hAnsi="Times New Roman" w:cs="Times New Roman"/>
          <w:sz w:val="36"/>
          <w:szCs w:val="24"/>
        </w:rPr>
        <w:t>Выборгского района</w:t>
      </w:r>
    </w:p>
    <w:p w:rsidR="0004040A" w:rsidRDefault="0004040A" w:rsidP="0004040A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по</w:t>
      </w:r>
      <w:r w:rsidRPr="002F74EF">
        <w:rPr>
          <w:rFonts w:ascii="Times New Roman" w:hAnsi="Times New Roman" w:cs="Times New Roman"/>
          <w:sz w:val="36"/>
          <w:szCs w:val="24"/>
        </w:rPr>
        <w:t xml:space="preserve"> </w:t>
      </w:r>
      <w:r w:rsidRPr="0004040A">
        <w:rPr>
          <w:rFonts w:ascii="Times New Roman" w:hAnsi="Times New Roman" w:cs="Times New Roman"/>
          <w:sz w:val="36"/>
          <w:szCs w:val="24"/>
        </w:rPr>
        <w:t>учет</w:t>
      </w:r>
      <w:r>
        <w:rPr>
          <w:rFonts w:ascii="Times New Roman" w:hAnsi="Times New Roman" w:cs="Times New Roman"/>
          <w:sz w:val="36"/>
          <w:szCs w:val="24"/>
        </w:rPr>
        <w:t>у</w:t>
      </w:r>
      <w:r w:rsidRPr="0004040A">
        <w:rPr>
          <w:rFonts w:ascii="Times New Roman" w:hAnsi="Times New Roman" w:cs="Times New Roman"/>
          <w:sz w:val="36"/>
          <w:szCs w:val="24"/>
        </w:rPr>
        <w:t xml:space="preserve"> статистических показателей </w:t>
      </w:r>
      <w:r>
        <w:rPr>
          <w:rFonts w:ascii="Times New Roman" w:hAnsi="Times New Roman" w:cs="Times New Roman"/>
          <w:sz w:val="36"/>
          <w:szCs w:val="24"/>
        </w:rPr>
        <w:t>деятельности</w:t>
      </w:r>
    </w:p>
    <w:p w:rsidR="0004040A" w:rsidRDefault="0004040A" w:rsidP="0004040A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</w:p>
    <w:p w:rsidR="0004040A" w:rsidRDefault="0004040A" w:rsidP="0004040A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</w:p>
    <w:p w:rsidR="0004040A" w:rsidRDefault="0004040A" w:rsidP="0004040A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</w:p>
    <w:p w:rsidR="0004040A" w:rsidRDefault="0004040A" w:rsidP="0004040A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</w:p>
    <w:p w:rsidR="0004040A" w:rsidRDefault="0004040A" w:rsidP="0004040A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</w:p>
    <w:p w:rsidR="0004040A" w:rsidRDefault="0004040A" w:rsidP="0004040A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</w:p>
    <w:p w:rsidR="0004040A" w:rsidRDefault="0004040A" w:rsidP="0004040A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</w:p>
    <w:p w:rsidR="0004040A" w:rsidRDefault="0004040A" w:rsidP="0004040A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</w:p>
    <w:p w:rsidR="0004040A" w:rsidRDefault="0004040A" w:rsidP="0004040A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</w:p>
    <w:p w:rsidR="0004040A" w:rsidRDefault="0004040A" w:rsidP="0004040A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</w:p>
    <w:p w:rsidR="0004040A" w:rsidRDefault="0004040A" w:rsidP="0004040A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</w:p>
    <w:p w:rsidR="0004040A" w:rsidRPr="002F74EF" w:rsidRDefault="0004040A" w:rsidP="0004040A">
      <w:pPr>
        <w:jc w:val="center"/>
        <w:rPr>
          <w:rFonts w:ascii="Times New Roman" w:hAnsi="Times New Roman" w:cs="Times New Roman"/>
        </w:rPr>
      </w:pPr>
      <w:r w:rsidRPr="002F74EF">
        <w:rPr>
          <w:rFonts w:ascii="Times New Roman" w:hAnsi="Times New Roman" w:cs="Times New Roman"/>
        </w:rPr>
        <w:t xml:space="preserve">Выборг </w:t>
      </w:r>
    </w:p>
    <w:p w:rsidR="0004040A" w:rsidRDefault="0004040A" w:rsidP="0004040A">
      <w:pPr>
        <w:spacing w:after="0"/>
        <w:jc w:val="center"/>
        <w:rPr>
          <w:rFonts w:ascii="Times New Roman" w:hAnsi="Times New Roman" w:cs="Times New Roman"/>
        </w:rPr>
      </w:pPr>
      <w:r w:rsidRPr="002F74EF">
        <w:rPr>
          <w:rFonts w:ascii="Times New Roman" w:hAnsi="Times New Roman" w:cs="Times New Roman"/>
        </w:rPr>
        <w:t>202</w:t>
      </w:r>
      <w:r>
        <w:rPr>
          <w:rFonts w:ascii="Times New Roman" w:hAnsi="Times New Roman" w:cs="Times New Roman"/>
        </w:rPr>
        <w:t>1</w:t>
      </w:r>
    </w:p>
    <w:p w:rsidR="0004040A" w:rsidRDefault="0004040A" w:rsidP="0004040A">
      <w:pPr>
        <w:spacing w:after="0"/>
        <w:jc w:val="center"/>
        <w:rPr>
          <w:rFonts w:ascii="Times New Roman" w:hAnsi="Times New Roman" w:cs="Times New Roman"/>
        </w:rPr>
      </w:pPr>
    </w:p>
    <w:p w:rsidR="0004040A" w:rsidRDefault="0004040A" w:rsidP="0004040A">
      <w:pPr>
        <w:spacing w:after="0"/>
        <w:jc w:val="center"/>
        <w:rPr>
          <w:rFonts w:ascii="Times New Roman" w:hAnsi="Times New Roman" w:cs="Times New Roman"/>
        </w:rPr>
      </w:pPr>
    </w:p>
    <w:p w:rsidR="0004040A" w:rsidRDefault="0004040A" w:rsidP="0004040A">
      <w:pPr>
        <w:spacing w:after="0"/>
        <w:jc w:val="center"/>
        <w:rPr>
          <w:rFonts w:ascii="Times New Roman" w:hAnsi="Times New Roman" w:cs="Times New Roman"/>
        </w:rPr>
      </w:pPr>
    </w:p>
    <w:p w:rsidR="0004040A" w:rsidRDefault="0004040A" w:rsidP="0004040A">
      <w:pPr>
        <w:spacing w:after="0"/>
        <w:jc w:val="center"/>
        <w:rPr>
          <w:rFonts w:ascii="Times New Roman" w:hAnsi="Times New Roman" w:cs="Times New Roman"/>
        </w:rPr>
      </w:pPr>
    </w:p>
    <w:p w:rsidR="0004040A" w:rsidRDefault="0004040A" w:rsidP="0004040A">
      <w:pPr>
        <w:spacing w:after="0"/>
        <w:jc w:val="center"/>
        <w:rPr>
          <w:rFonts w:ascii="Times New Roman" w:hAnsi="Times New Roman" w:cs="Times New Roman"/>
        </w:rPr>
      </w:pPr>
    </w:p>
    <w:p w:rsidR="0004040A" w:rsidRDefault="0004040A" w:rsidP="0004040A">
      <w:pPr>
        <w:spacing w:after="0"/>
        <w:jc w:val="center"/>
        <w:rPr>
          <w:rFonts w:ascii="Times New Roman" w:hAnsi="Times New Roman" w:cs="Times New Roman"/>
        </w:rPr>
      </w:pPr>
    </w:p>
    <w:p w:rsidR="0004040A" w:rsidRDefault="0004040A" w:rsidP="0004040A">
      <w:pPr>
        <w:spacing w:after="0"/>
        <w:jc w:val="center"/>
        <w:rPr>
          <w:rFonts w:ascii="Times New Roman" w:hAnsi="Times New Roman" w:cs="Times New Roman"/>
        </w:rPr>
      </w:pPr>
    </w:p>
    <w:p w:rsidR="0004040A" w:rsidRDefault="0004040A" w:rsidP="0004040A">
      <w:pPr>
        <w:spacing w:after="0"/>
        <w:jc w:val="center"/>
        <w:rPr>
          <w:rFonts w:ascii="Times New Roman" w:hAnsi="Times New Roman" w:cs="Times New Roman"/>
        </w:rPr>
      </w:pPr>
    </w:p>
    <w:p w:rsidR="0004040A" w:rsidRDefault="0004040A" w:rsidP="0004040A">
      <w:pPr>
        <w:spacing w:after="0"/>
        <w:jc w:val="center"/>
        <w:rPr>
          <w:rFonts w:ascii="Times New Roman" w:hAnsi="Times New Roman" w:cs="Times New Roman"/>
        </w:rPr>
      </w:pPr>
    </w:p>
    <w:p w:rsidR="0004040A" w:rsidRPr="00FA0CD8" w:rsidRDefault="0004040A" w:rsidP="0004040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0CD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ББК 78.32 </w:t>
      </w:r>
    </w:p>
    <w:p w:rsidR="0004040A" w:rsidRPr="00FA0CD8" w:rsidRDefault="0004040A" w:rsidP="0004040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0CD8">
        <w:rPr>
          <w:rFonts w:ascii="Times New Roman" w:hAnsi="Times New Roman" w:cs="Times New Roman"/>
          <w:sz w:val="24"/>
          <w:szCs w:val="24"/>
        </w:rPr>
        <w:t>М 54</w:t>
      </w:r>
    </w:p>
    <w:p w:rsidR="0004040A" w:rsidRDefault="0004040A" w:rsidP="000404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040A" w:rsidRDefault="0004040A" w:rsidP="000404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04040A" w:rsidRPr="00FA0CD8" w:rsidRDefault="0004040A" w:rsidP="000404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A0CD8">
        <w:rPr>
          <w:rFonts w:ascii="Times New Roman" w:hAnsi="Times New Roman" w:cs="Times New Roman"/>
          <w:sz w:val="24"/>
          <w:szCs w:val="24"/>
        </w:rPr>
        <w:t>Методические рекомендации для общедоступных библиотек Выборгского района</w:t>
      </w:r>
    </w:p>
    <w:p w:rsidR="0004040A" w:rsidRDefault="0004040A" w:rsidP="000404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A0CD8">
        <w:rPr>
          <w:rFonts w:ascii="Times New Roman" w:hAnsi="Times New Roman" w:cs="Times New Roman"/>
          <w:sz w:val="24"/>
          <w:szCs w:val="24"/>
        </w:rPr>
        <w:t xml:space="preserve"> </w:t>
      </w:r>
      <w:r w:rsidRPr="0004040A">
        <w:rPr>
          <w:rFonts w:ascii="Times New Roman" w:hAnsi="Times New Roman" w:cs="Times New Roman"/>
          <w:sz w:val="24"/>
          <w:szCs w:val="24"/>
        </w:rPr>
        <w:t>по учету статистических показателей деятельности</w:t>
      </w:r>
      <w:r w:rsidR="004F0D15">
        <w:rPr>
          <w:rFonts w:ascii="Times New Roman" w:hAnsi="Times New Roman" w:cs="Times New Roman"/>
          <w:sz w:val="24"/>
          <w:szCs w:val="24"/>
        </w:rPr>
        <w:t xml:space="preserve"> </w:t>
      </w:r>
      <w:r w:rsidRPr="00FA0CD8">
        <w:rPr>
          <w:rFonts w:ascii="Times New Roman" w:hAnsi="Times New Roman" w:cs="Times New Roman"/>
          <w:sz w:val="24"/>
          <w:szCs w:val="24"/>
        </w:rPr>
        <w:t xml:space="preserve">/ МБУК «Межпоселенческая библиотека Выборгского района»; сост.: </w:t>
      </w:r>
      <w:r>
        <w:rPr>
          <w:rFonts w:ascii="Times New Roman" w:hAnsi="Times New Roman" w:cs="Times New Roman"/>
          <w:sz w:val="24"/>
          <w:szCs w:val="24"/>
        </w:rPr>
        <w:t>Еременко О.Н</w:t>
      </w:r>
      <w:r w:rsidRPr="00FA0C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0CD8">
        <w:rPr>
          <w:rFonts w:ascii="Times New Roman" w:hAnsi="Times New Roman" w:cs="Times New Roman"/>
          <w:sz w:val="24"/>
          <w:szCs w:val="24"/>
        </w:rPr>
        <w:t>– Выборг, 20</w:t>
      </w:r>
      <w:r>
        <w:rPr>
          <w:rFonts w:ascii="Times New Roman" w:hAnsi="Times New Roman" w:cs="Times New Roman"/>
          <w:sz w:val="24"/>
          <w:szCs w:val="24"/>
        </w:rPr>
        <w:t xml:space="preserve">21. – </w:t>
      </w:r>
      <w:r w:rsidR="008B5DE2">
        <w:rPr>
          <w:rFonts w:ascii="Times New Roman" w:hAnsi="Times New Roman" w:cs="Times New Roman"/>
          <w:sz w:val="24"/>
          <w:szCs w:val="24"/>
        </w:rPr>
        <w:t>13</w:t>
      </w:r>
      <w:r w:rsidRPr="00FA0CD8">
        <w:rPr>
          <w:rFonts w:ascii="Times New Roman" w:hAnsi="Times New Roman" w:cs="Times New Roman"/>
          <w:sz w:val="24"/>
          <w:szCs w:val="24"/>
        </w:rPr>
        <w:t xml:space="preserve"> с.</w:t>
      </w:r>
    </w:p>
    <w:p w:rsidR="0004040A" w:rsidRPr="002F74EF" w:rsidRDefault="0004040A" w:rsidP="0004040A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</w:p>
    <w:p w:rsidR="0004040A" w:rsidRDefault="0004040A" w:rsidP="007F0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40A" w:rsidRDefault="0004040A" w:rsidP="007F0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40A" w:rsidRDefault="0004040A" w:rsidP="007F0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40A" w:rsidRDefault="0004040A" w:rsidP="007F0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40A" w:rsidRDefault="0004040A" w:rsidP="007F0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40A" w:rsidRDefault="0004040A" w:rsidP="007F0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40A" w:rsidRDefault="0004040A" w:rsidP="007F0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40A" w:rsidRDefault="0004040A" w:rsidP="007F0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40A" w:rsidRDefault="0004040A" w:rsidP="007F0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40A" w:rsidRDefault="0004040A" w:rsidP="007F0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40A" w:rsidRDefault="0004040A" w:rsidP="007F0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40A" w:rsidRDefault="0004040A" w:rsidP="007F0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40A" w:rsidRDefault="0004040A" w:rsidP="007F0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40A" w:rsidRDefault="0004040A" w:rsidP="007F0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40A" w:rsidRDefault="0004040A" w:rsidP="007F0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40A" w:rsidRDefault="0004040A" w:rsidP="007F0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40A" w:rsidRDefault="0004040A" w:rsidP="007F0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40A" w:rsidRDefault="0004040A" w:rsidP="0004040A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FA0CD8">
        <w:rPr>
          <w:rFonts w:ascii="Times New Roman" w:hAnsi="Times New Roman" w:cs="Times New Roman"/>
          <w:sz w:val="24"/>
          <w:szCs w:val="24"/>
        </w:rPr>
        <w:t>© МБУК Межпоселенческая библиотека Выборгского района», 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04040A" w:rsidRDefault="0004040A" w:rsidP="007F0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40A" w:rsidRPr="0004040A" w:rsidRDefault="0004040A" w:rsidP="0004040A">
      <w:pPr>
        <w:jc w:val="center"/>
        <w:rPr>
          <w:rFonts w:ascii="Times New Roman" w:hAnsi="Times New Roman" w:cs="Times New Roman"/>
          <w:b/>
          <w:sz w:val="28"/>
        </w:rPr>
      </w:pPr>
      <w:r w:rsidRPr="0004040A">
        <w:rPr>
          <w:rFonts w:ascii="Times New Roman" w:hAnsi="Times New Roman" w:cs="Times New Roman"/>
          <w:b/>
          <w:sz w:val="28"/>
        </w:rPr>
        <w:lastRenderedPageBreak/>
        <w:t>Содержание</w:t>
      </w:r>
    </w:p>
    <w:p w:rsidR="0004040A" w:rsidRPr="00784425" w:rsidRDefault="0004040A" w:rsidP="0004040A">
      <w:pPr>
        <w:jc w:val="center"/>
        <w:rPr>
          <w:b/>
          <w:sz w:val="28"/>
        </w:rPr>
      </w:pPr>
    </w:p>
    <w:p w:rsidR="0004040A" w:rsidRPr="00FA0CD8" w:rsidRDefault="0004040A" w:rsidP="000404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4040A">
        <w:rPr>
          <w:rFonts w:ascii="Times New Roman" w:hAnsi="Times New Roman" w:cs="Times New Roman"/>
          <w:sz w:val="24"/>
          <w:szCs w:val="24"/>
        </w:rPr>
        <w:t xml:space="preserve">Общие положения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…………………………………………………………………………….4</w:t>
      </w:r>
    </w:p>
    <w:p w:rsidR="0004040A" w:rsidRPr="00FA0CD8" w:rsidRDefault="0004040A" w:rsidP="0004040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4040A">
        <w:rPr>
          <w:rFonts w:ascii="Times New Roman" w:hAnsi="Times New Roman" w:cs="Times New Roman"/>
          <w:sz w:val="24"/>
          <w:szCs w:val="24"/>
        </w:rPr>
        <w:t>2. Термины и определения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  <w:r w:rsidRPr="00FA0CD8"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</w:p>
    <w:p w:rsidR="0004040A" w:rsidRPr="00FA0CD8" w:rsidRDefault="0004040A" w:rsidP="0004040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04040A">
        <w:rPr>
          <w:rFonts w:ascii="Times New Roman" w:hAnsi="Times New Roman" w:cs="Times New Roman"/>
          <w:sz w:val="24"/>
          <w:szCs w:val="24"/>
        </w:rPr>
        <w:t>3. Учет пользователей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FA0CD8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...7</w:t>
      </w:r>
    </w:p>
    <w:p w:rsidR="0004040A" w:rsidRDefault="008B5DE2" w:rsidP="0004040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Уче</w:t>
      </w:r>
      <w:r w:rsidRPr="008B5DE2">
        <w:rPr>
          <w:rFonts w:ascii="Times New Roman" w:hAnsi="Times New Roman" w:cs="Times New Roman"/>
          <w:color w:val="000000"/>
          <w:sz w:val="24"/>
          <w:szCs w:val="24"/>
        </w:rPr>
        <w:t>т посещений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…………………..</w:t>
      </w:r>
      <w:r w:rsidR="0004040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…………………………………………………………..</w:t>
      </w:r>
      <w:r>
        <w:rPr>
          <w:rFonts w:ascii="Times New Roman" w:hAnsi="Times New Roman" w:cs="Times New Roman"/>
          <w:color w:val="000000"/>
          <w:sz w:val="24"/>
          <w:szCs w:val="24"/>
        </w:rPr>
        <w:t>8</w:t>
      </w:r>
    </w:p>
    <w:p w:rsidR="008B5DE2" w:rsidRDefault="008B5DE2" w:rsidP="008B5DE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DE2">
        <w:rPr>
          <w:rFonts w:ascii="Times New Roman" w:hAnsi="Times New Roman" w:cs="Times New Roman"/>
          <w:color w:val="000000"/>
          <w:sz w:val="24"/>
          <w:szCs w:val="24"/>
        </w:rPr>
        <w:t>5. Учет выдачи документов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…………………..…………………………………………….…..9</w:t>
      </w:r>
    </w:p>
    <w:p w:rsidR="008B5DE2" w:rsidRDefault="008B5DE2" w:rsidP="008B5DE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DE2">
        <w:rPr>
          <w:rFonts w:ascii="Times New Roman" w:hAnsi="Times New Roman" w:cs="Times New Roman"/>
          <w:color w:val="000000"/>
          <w:sz w:val="24"/>
          <w:szCs w:val="24"/>
        </w:rPr>
        <w:t>6. Учет мероприятий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………………..…………………………………………………………..11</w:t>
      </w:r>
    </w:p>
    <w:p w:rsidR="008B5DE2" w:rsidRDefault="008B5DE2" w:rsidP="008B5DE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8B5DE2">
        <w:rPr>
          <w:rFonts w:ascii="Times New Roman" w:hAnsi="Times New Roman" w:cs="Times New Roman"/>
          <w:color w:val="000000"/>
          <w:sz w:val="24"/>
          <w:szCs w:val="24"/>
        </w:rPr>
        <w:t>7. Учет справок и консультаций</w:t>
      </w:r>
      <w:r>
        <w:rPr>
          <w:rFonts w:ascii="Times New Roman" w:hAnsi="Times New Roman" w:cs="Times New Roman"/>
          <w:color w:val="000000"/>
          <w:sz w:val="24"/>
          <w:szCs w:val="24"/>
        </w:rPr>
        <w:t>…..…………………………………………………………..12</w:t>
      </w:r>
    </w:p>
    <w:p w:rsidR="008B5DE2" w:rsidRDefault="008B5DE2" w:rsidP="0004040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8B5DE2" w:rsidRPr="00FA0CD8" w:rsidRDefault="008B5DE2" w:rsidP="0004040A">
      <w:pPr>
        <w:rPr>
          <w:rFonts w:ascii="Times New Roman" w:hAnsi="Times New Roman" w:cs="Times New Roman"/>
          <w:sz w:val="24"/>
          <w:szCs w:val="24"/>
        </w:rPr>
      </w:pPr>
    </w:p>
    <w:p w:rsidR="0004040A" w:rsidRDefault="0004040A" w:rsidP="007F0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40A" w:rsidRDefault="0004040A" w:rsidP="007F0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40A" w:rsidRDefault="0004040A" w:rsidP="007F0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40A" w:rsidRDefault="0004040A" w:rsidP="007F0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40A" w:rsidRDefault="0004040A" w:rsidP="007F0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40A" w:rsidRDefault="0004040A" w:rsidP="007F0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40A" w:rsidRDefault="0004040A" w:rsidP="007F0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40A" w:rsidRDefault="0004040A" w:rsidP="007F0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40A" w:rsidRDefault="0004040A" w:rsidP="007F0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40A" w:rsidRDefault="0004040A" w:rsidP="007F0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40A" w:rsidRDefault="0004040A" w:rsidP="007F0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40A" w:rsidRDefault="0004040A" w:rsidP="007F0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40A" w:rsidRDefault="0004040A" w:rsidP="007F05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34A" w:rsidRPr="000248D2" w:rsidRDefault="0011034A" w:rsidP="007F05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48D2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0248D2" w:rsidRPr="000248D2" w:rsidRDefault="000248D2" w:rsidP="000248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sz w:val="28"/>
          <w:szCs w:val="28"/>
        </w:rPr>
        <w:t>Методические рекомендации разработаны на основании ГОСТ 7.0.20-2014 СИБИД «Библиотечная статистика: показатели и единицы исчисления», ГОСТ 7.0-99 «Информационно-библиотечная деятельность, библиография», рекомендаций главного информационно-вычислительного центра Министерства культуры Российской Федерации.</w:t>
      </w:r>
    </w:p>
    <w:p w:rsidR="0099305E" w:rsidRPr="000248D2" w:rsidRDefault="0099305E" w:rsidP="000248D2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 библиотечной  статистикой  понимается  вид  практической  деятельности  по сбору, группировке и обработке первичных статистических данных, характеризующих состояние и деятельность данной </w:t>
      </w:r>
      <w:r w:rsidR="000248D2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E36689" w:rsidRPr="000248D2">
        <w:rPr>
          <w:rFonts w:ascii="Times New Roman" w:eastAsia="Times New Roman" w:hAnsi="Times New Roman" w:cs="Times New Roman"/>
          <w:sz w:val="28"/>
          <w:szCs w:val="28"/>
          <w:lang w:eastAsia="ru-RU"/>
        </w:rPr>
        <w:t>иблиотеки или ее отделов</w:t>
      </w:r>
      <w:r w:rsidRPr="00024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212DA" w:rsidRPr="000248D2" w:rsidRDefault="007212DA" w:rsidP="000248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sz w:val="28"/>
          <w:szCs w:val="28"/>
        </w:rPr>
        <w:t>Целями библиотечной статистики являются:</w:t>
      </w:r>
    </w:p>
    <w:p w:rsidR="007212DA" w:rsidRPr="000248D2" w:rsidRDefault="007212DA" w:rsidP="000248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sz w:val="28"/>
          <w:szCs w:val="28"/>
        </w:rPr>
        <w:t>- статистический учет результатов библиотечной деятельности;</w:t>
      </w:r>
    </w:p>
    <w:p w:rsidR="007212DA" w:rsidRPr="000248D2" w:rsidRDefault="007212DA" w:rsidP="000248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sz w:val="28"/>
          <w:szCs w:val="28"/>
        </w:rPr>
        <w:t>- мониторинг результатов работы для принятия управленческих решений;</w:t>
      </w:r>
    </w:p>
    <w:p w:rsidR="007212DA" w:rsidRPr="000248D2" w:rsidRDefault="007212DA" w:rsidP="000248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sz w:val="28"/>
          <w:szCs w:val="28"/>
        </w:rPr>
        <w:t>- создание базы планирования деятельности библиотек и отчетности по их работе;</w:t>
      </w:r>
    </w:p>
    <w:p w:rsidR="007212DA" w:rsidRPr="000248D2" w:rsidRDefault="007212DA" w:rsidP="000248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sz w:val="28"/>
          <w:szCs w:val="28"/>
        </w:rPr>
        <w:t>- обоснование запросов на финансирование и иную поддержку развития библиотек</w:t>
      </w:r>
      <w:r w:rsidR="00E36689" w:rsidRPr="000248D2">
        <w:rPr>
          <w:rFonts w:ascii="Times New Roman" w:hAnsi="Times New Roman" w:cs="Times New Roman"/>
          <w:sz w:val="28"/>
          <w:szCs w:val="28"/>
        </w:rPr>
        <w:t>и</w:t>
      </w:r>
      <w:r w:rsidRPr="000248D2">
        <w:rPr>
          <w:rFonts w:ascii="Times New Roman" w:hAnsi="Times New Roman" w:cs="Times New Roman"/>
          <w:sz w:val="28"/>
          <w:szCs w:val="28"/>
        </w:rPr>
        <w:t>.</w:t>
      </w:r>
    </w:p>
    <w:p w:rsidR="007212DA" w:rsidRPr="000248D2" w:rsidRDefault="00E7248D" w:rsidP="000248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sz w:val="28"/>
          <w:szCs w:val="28"/>
        </w:rPr>
        <w:t>Основой библиотечной статистики является точный учет вс</w:t>
      </w:r>
      <w:r w:rsidR="000248D2">
        <w:rPr>
          <w:rFonts w:ascii="Times New Roman" w:hAnsi="Times New Roman" w:cs="Times New Roman"/>
          <w:sz w:val="28"/>
          <w:szCs w:val="28"/>
        </w:rPr>
        <w:t>ех основных показателей работы б</w:t>
      </w:r>
      <w:r w:rsidRPr="000248D2">
        <w:rPr>
          <w:rFonts w:ascii="Times New Roman" w:hAnsi="Times New Roman" w:cs="Times New Roman"/>
          <w:sz w:val="28"/>
          <w:szCs w:val="28"/>
        </w:rPr>
        <w:t xml:space="preserve">иблиотеки. </w:t>
      </w:r>
    </w:p>
    <w:p w:rsidR="00E7248D" w:rsidRPr="000248D2" w:rsidRDefault="00E7248D" w:rsidP="000248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sz w:val="28"/>
          <w:szCs w:val="28"/>
        </w:rPr>
        <w:t xml:space="preserve">Учет ведется по следующим </w:t>
      </w:r>
      <w:r w:rsidR="00332824">
        <w:rPr>
          <w:rFonts w:ascii="Times New Roman" w:hAnsi="Times New Roman" w:cs="Times New Roman"/>
          <w:sz w:val="28"/>
          <w:szCs w:val="28"/>
        </w:rPr>
        <w:t>показателям</w:t>
      </w:r>
      <w:r w:rsidRPr="000248D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7248D" w:rsidRPr="000248D2" w:rsidRDefault="00E7248D" w:rsidP="000248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sz w:val="28"/>
          <w:szCs w:val="28"/>
        </w:rPr>
        <w:t xml:space="preserve">- учет пользователей библиотеки; </w:t>
      </w:r>
    </w:p>
    <w:p w:rsidR="00E7248D" w:rsidRPr="000248D2" w:rsidRDefault="00E7248D" w:rsidP="000248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sz w:val="28"/>
          <w:szCs w:val="28"/>
        </w:rPr>
        <w:t xml:space="preserve">-учет посещений; </w:t>
      </w:r>
    </w:p>
    <w:p w:rsidR="000248D2" w:rsidRDefault="00E7248D" w:rsidP="000248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sz w:val="28"/>
          <w:szCs w:val="28"/>
        </w:rPr>
        <w:t>-учет выдачи документов;</w:t>
      </w:r>
    </w:p>
    <w:p w:rsidR="00E7248D" w:rsidRPr="000248D2" w:rsidRDefault="000248D2" w:rsidP="000248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sz w:val="28"/>
          <w:szCs w:val="28"/>
        </w:rPr>
        <w:t>- учет мероприятий</w:t>
      </w:r>
    </w:p>
    <w:p w:rsidR="00E7248D" w:rsidRDefault="00E7248D" w:rsidP="000248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sz w:val="28"/>
          <w:szCs w:val="28"/>
        </w:rPr>
        <w:t>- учет справок и консультаций.</w:t>
      </w:r>
    </w:p>
    <w:p w:rsidR="00332824" w:rsidRPr="000248D2" w:rsidRDefault="00332824" w:rsidP="00332824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sz w:val="28"/>
          <w:szCs w:val="28"/>
        </w:rPr>
        <w:t xml:space="preserve">Учет </w:t>
      </w:r>
      <w:r>
        <w:rPr>
          <w:rFonts w:ascii="Times New Roman" w:hAnsi="Times New Roman" w:cs="Times New Roman"/>
          <w:sz w:val="28"/>
          <w:szCs w:val="28"/>
        </w:rPr>
        <w:t xml:space="preserve">по всем показателям </w:t>
      </w:r>
      <w:r w:rsidRPr="000248D2">
        <w:rPr>
          <w:rFonts w:ascii="Times New Roman" w:hAnsi="Times New Roman" w:cs="Times New Roman"/>
          <w:sz w:val="28"/>
          <w:szCs w:val="28"/>
        </w:rPr>
        <w:t>ведется в автоматизированном и/или ручном режимах.</w:t>
      </w:r>
    </w:p>
    <w:p w:rsidR="00E7248D" w:rsidRPr="000248D2" w:rsidRDefault="00E7248D" w:rsidP="000248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04040A" w:rsidRDefault="0004040A" w:rsidP="000248D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40A" w:rsidRDefault="0004040A" w:rsidP="000248D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40A" w:rsidRDefault="0004040A" w:rsidP="000248D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2DA" w:rsidRPr="000248D2" w:rsidRDefault="0004040A" w:rsidP="000248D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7212DA" w:rsidRPr="000248D2">
        <w:rPr>
          <w:rFonts w:ascii="Times New Roman" w:hAnsi="Times New Roman" w:cs="Times New Roman"/>
          <w:b/>
          <w:sz w:val="28"/>
          <w:szCs w:val="28"/>
        </w:rPr>
        <w:t>Термины и определения</w:t>
      </w:r>
    </w:p>
    <w:p w:rsidR="00BE7060" w:rsidRPr="000248D2" w:rsidRDefault="00BE7060" w:rsidP="000248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b/>
          <w:sz w:val="28"/>
          <w:szCs w:val="28"/>
        </w:rPr>
        <w:t xml:space="preserve">Пользователь (читатель, абонент, посетитель мероприятия) </w:t>
      </w:r>
      <w:r w:rsidR="00332824">
        <w:rPr>
          <w:rFonts w:ascii="Times New Roman" w:hAnsi="Times New Roman" w:cs="Times New Roman"/>
          <w:b/>
          <w:sz w:val="28"/>
          <w:szCs w:val="28"/>
        </w:rPr>
        <w:t>б</w:t>
      </w:r>
      <w:r w:rsidRPr="000248D2">
        <w:rPr>
          <w:rFonts w:ascii="Times New Roman" w:hAnsi="Times New Roman" w:cs="Times New Roman"/>
          <w:b/>
          <w:sz w:val="28"/>
          <w:szCs w:val="28"/>
        </w:rPr>
        <w:t xml:space="preserve">иблиотеки - </w:t>
      </w:r>
      <w:r w:rsidRPr="000248D2">
        <w:rPr>
          <w:rFonts w:ascii="Times New Roman" w:hAnsi="Times New Roman" w:cs="Times New Roman"/>
          <w:sz w:val="28"/>
          <w:szCs w:val="28"/>
        </w:rPr>
        <w:t xml:space="preserve">физическое лицо (индивидуальный пользователь) или юридическое лицо (коллективный пользователь), обращающееся в </w:t>
      </w:r>
      <w:r w:rsidR="00332824">
        <w:rPr>
          <w:rFonts w:ascii="Times New Roman" w:hAnsi="Times New Roman" w:cs="Times New Roman"/>
          <w:sz w:val="28"/>
          <w:szCs w:val="28"/>
        </w:rPr>
        <w:t>б</w:t>
      </w:r>
      <w:r w:rsidRPr="000248D2">
        <w:rPr>
          <w:rFonts w:ascii="Times New Roman" w:hAnsi="Times New Roman" w:cs="Times New Roman"/>
          <w:sz w:val="28"/>
          <w:szCs w:val="28"/>
        </w:rPr>
        <w:t>иблиотеку за библиотечно-информационными услугами.</w:t>
      </w:r>
    </w:p>
    <w:p w:rsidR="00B64028" w:rsidRPr="000248D2" w:rsidRDefault="00BE7060" w:rsidP="000248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b/>
          <w:sz w:val="28"/>
          <w:szCs w:val="28"/>
        </w:rPr>
        <w:t>У</w:t>
      </w:r>
      <w:r w:rsidR="00B64028" w:rsidRPr="000248D2">
        <w:rPr>
          <w:rFonts w:ascii="Times New Roman" w:hAnsi="Times New Roman" w:cs="Times New Roman"/>
          <w:b/>
          <w:sz w:val="28"/>
          <w:szCs w:val="28"/>
        </w:rPr>
        <w:t>даленный пользователь</w:t>
      </w:r>
      <w:r w:rsidR="00B64028" w:rsidRPr="000248D2">
        <w:rPr>
          <w:rFonts w:ascii="Times New Roman" w:hAnsi="Times New Roman" w:cs="Times New Roman"/>
          <w:sz w:val="28"/>
          <w:szCs w:val="28"/>
        </w:rPr>
        <w:t xml:space="preserve"> - физическое или юридическое лицо, пользующееся услугами библиотеки вне ее стен, в том числе посредством информационно-телекоммуникационных сетей.</w:t>
      </w:r>
    </w:p>
    <w:p w:rsidR="001D6E87" w:rsidRPr="000248D2" w:rsidRDefault="001D6E87" w:rsidP="000248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b/>
          <w:sz w:val="28"/>
          <w:szCs w:val="28"/>
        </w:rPr>
        <w:t xml:space="preserve">Временный  пользователь </w:t>
      </w:r>
      <w:r w:rsidRPr="0002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</w:t>
      </w:r>
      <w:r w:rsidRPr="000248D2">
        <w:rPr>
          <w:rFonts w:ascii="Times New Roman" w:hAnsi="Times New Roman" w:cs="Times New Roman"/>
          <w:sz w:val="28"/>
          <w:szCs w:val="28"/>
        </w:rPr>
        <w:t xml:space="preserve"> </w:t>
      </w:r>
      <w:r w:rsidR="00B21863" w:rsidRPr="000248D2">
        <w:rPr>
          <w:rFonts w:ascii="Times New Roman" w:hAnsi="Times New Roman" w:cs="Times New Roman"/>
          <w:sz w:val="28"/>
          <w:szCs w:val="28"/>
        </w:rPr>
        <w:t xml:space="preserve">физическое или юридическое лицо, </w:t>
      </w:r>
      <w:r w:rsidRPr="000248D2">
        <w:rPr>
          <w:rFonts w:ascii="Times New Roman" w:hAnsi="Times New Roman" w:cs="Times New Roman"/>
          <w:sz w:val="28"/>
          <w:szCs w:val="28"/>
        </w:rPr>
        <w:t>получивш</w:t>
      </w:r>
      <w:r w:rsidR="00B21863" w:rsidRPr="000248D2">
        <w:rPr>
          <w:rFonts w:ascii="Times New Roman" w:hAnsi="Times New Roman" w:cs="Times New Roman"/>
          <w:sz w:val="28"/>
          <w:szCs w:val="28"/>
        </w:rPr>
        <w:t>ее</w:t>
      </w:r>
      <w:r w:rsidRPr="000248D2">
        <w:rPr>
          <w:rFonts w:ascii="Times New Roman" w:hAnsi="Times New Roman" w:cs="Times New Roman"/>
          <w:sz w:val="28"/>
          <w:szCs w:val="28"/>
        </w:rPr>
        <w:t xml:space="preserve">   одну/несколько библиотечн</w:t>
      </w:r>
      <w:r w:rsidR="00B21863" w:rsidRPr="000248D2">
        <w:rPr>
          <w:rFonts w:ascii="Times New Roman" w:hAnsi="Times New Roman" w:cs="Times New Roman"/>
          <w:sz w:val="28"/>
          <w:szCs w:val="28"/>
        </w:rPr>
        <w:t>ых услуг при разовом посещении Библиотеки.</w:t>
      </w:r>
    </w:p>
    <w:p w:rsidR="00BE7060" w:rsidRPr="000248D2" w:rsidRDefault="00332824" w:rsidP="000248D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Регистрация (запись) в б</w:t>
      </w:r>
      <w:r w:rsidR="00BE7060" w:rsidRPr="000248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иблиотеку</w:t>
      </w:r>
      <w:r w:rsidR="00BE7060" w:rsidRPr="00024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</w:t>
      </w:r>
      <w:r w:rsidR="00BE7060" w:rsidRPr="000248D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фиксация сведений о посетителе с присвоением идентификатора (индивидуального номера).</w:t>
      </w:r>
    </w:p>
    <w:p w:rsidR="00B64028" w:rsidRPr="000248D2" w:rsidRDefault="00B64028" w:rsidP="000248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b/>
          <w:sz w:val="28"/>
          <w:szCs w:val="28"/>
        </w:rPr>
        <w:t>Посещение</w:t>
      </w:r>
      <w:r w:rsidRPr="000248D2">
        <w:rPr>
          <w:rFonts w:ascii="Times New Roman" w:hAnsi="Times New Roman" w:cs="Times New Roman"/>
          <w:sz w:val="28"/>
          <w:szCs w:val="28"/>
        </w:rPr>
        <w:t xml:space="preserve"> - п</w:t>
      </w:r>
      <w:r w:rsidR="00332824">
        <w:rPr>
          <w:rFonts w:ascii="Times New Roman" w:hAnsi="Times New Roman" w:cs="Times New Roman"/>
          <w:sz w:val="28"/>
          <w:szCs w:val="28"/>
        </w:rPr>
        <w:t>риход пользователя в помещение б</w:t>
      </w:r>
      <w:r w:rsidRPr="000248D2">
        <w:rPr>
          <w:rFonts w:ascii="Times New Roman" w:hAnsi="Times New Roman" w:cs="Times New Roman"/>
          <w:sz w:val="28"/>
          <w:szCs w:val="28"/>
        </w:rPr>
        <w:t>иблиотеки</w:t>
      </w:r>
      <w:r w:rsidR="00E36689" w:rsidRPr="000248D2">
        <w:rPr>
          <w:rFonts w:ascii="Times New Roman" w:hAnsi="Times New Roman" w:cs="Times New Roman"/>
          <w:sz w:val="28"/>
          <w:szCs w:val="28"/>
        </w:rPr>
        <w:t xml:space="preserve"> или внестационарного подразделения библиотеки </w:t>
      </w:r>
      <w:r w:rsidRPr="000248D2">
        <w:rPr>
          <w:rFonts w:ascii="Times New Roman" w:hAnsi="Times New Roman" w:cs="Times New Roman"/>
          <w:sz w:val="28"/>
          <w:szCs w:val="28"/>
        </w:rPr>
        <w:t>с целью получения библиотечно-информационной услуги, участия в библиотечном мероприятии, использования библиотечного пространства для общения, обращение</w:t>
      </w:r>
      <w:r w:rsidR="00E36689" w:rsidRPr="000248D2">
        <w:rPr>
          <w:rFonts w:ascii="Times New Roman" w:hAnsi="Times New Roman" w:cs="Times New Roman"/>
          <w:sz w:val="28"/>
          <w:szCs w:val="28"/>
        </w:rPr>
        <w:t xml:space="preserve"> к ее веб-сайтам.</w:t>
      </w:r>
    </w:p>
    <w:p w:rsidR="00B64028" w:rsidRPr="000248D2" w:rsidRDefault="00B64028" w:rsidP="000248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b/>
          <w:sz w:val="28"/>
          <w:szCs w:val="28"/>
        </w:rPr>
        <w:t xml:space="preserve">Выдача документа - </w:t>
      </w:r>
      <w:r w:rsidRPr="000248D2">
        <w:rPr>
          <w:rFonts w:ascii="Times New Roman" w:hAnsi="Times New Roman" w:cs="Times New Roman"/>
          <w:sz w:val="28"/>
          <w:szCs w:val="28"/>
        </w:rPr>
        <w:t>предоставление во временное пользование документа из библиотечного фонда по запросу по</w:t>
      </w:r>
      <w:r w:rsidR="00332824">
        <w:rPr>
          <w:rFonts w:ascii="Times New Roman" w:hAnsi="Times New Roman" w:cs="Times New Roman"/>
          <w:sz w:val="28"/>
          <w:szCs w:val="28"/>
        </w:rPr>
        <w:t>льзователя, включая полученный б</w:t>
      </w:r>
      <w:r w:rsidRPr="000248D2">
        <w:rPr>
          <w:rFonts w:ascii="Times New Roman" w:hAnsi="Times New Roman" w:cs="Times New Roman"/>
          <w:sz w:val="28"/>
          <w:szCs w:val="28"/>
        </w:rPr>
        <w:t>иблиотекой из других фондов по всем видам абонемента и всем формам доставки документов, в том числе предоставление доступа к электронному документу или его части.</w:t>
      </w:r>
    </w:p>
    <w:p w:rsidR="00B64028" w:rsidRPr="000248D2" w:rsidRDefault="00B64028" w:rsidP="000248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b/>
          <w:sz w:val="28"/>
          <w:szCs w:val="28"/>
        </w:rPr>
        <w:t>Внестационарное библиотечное обслуживание населения</w:t>
      </w:r>
      <w:r w:rsidRPr="000248D2">
        <w:rPr>
          <w:rFonts w:ascii="Times New Roman" w:hAnsi="Times New Roman" w:cs="Times New Roman"/>
          <w:sz w:val="28"/>
          <w:szCs w:val="28"/>
        </w:rPr>
        <w:t xml:space="preserve"> –  обслуживание читателей вне стационарной библиотеки, обеспечивающее приближение библиотечных услуг к месту работы, учебы или жительства населения в библиотечных пунктах, передвижных библиотеках средствами бригадного, заочного абонемента и др. </w:t>
      </w:r>
    </w:p>
    <w:p w:rsidR="00BE7060" w:rsidRPr="000248D2" w:rsidRDefault="00223C31" w:rsidP="000248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b/>
          <w:sz w:val="28"/>
          <w:szCs w:val="28"/>
        </w:rPr>
        <w:t>Б</w:t>
      </w:r>
      <w:r w:rsidR="00E62FB3" w:rsidRPr="000248D2">
        <w:rPr>
          <w:rFonts w:ascii="Times New Roman" w:hAnsi="Times New Roman" w:cs="Times New Roman"/>
          <w:b/>
          <w:sz w:val="28"/>
          <w:szCs w:val="28"/>
        </w:rPr>
        <w:t>иблиотечно-информационная услуга</w:t>
      </w:r>
      <w:r w:rsidRPr="000248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48D2">
        <w:rPr>
          <w:rFonts w:ascii="Times New Roman" w:hAnsi="Times New Roman" w:cs="Times New Roman"/>
          <w:sz w:val="28"/>
          <w:szCs w:val="28"/>
        </w:rPr>
        <w:t>–  к</w:t>
      </w:r>
      <w:r w:rsidR="00E62FB3" w:rsidRPr="000248D2">
        <w:rPr>
          <w:rFonts w:ascii="Times New Roman" w:hAnsi="Times New Roman" w:cs="Times New Roman"/>
          <w:sz w:val="28"/>
          <w:szCs w:val="28"/>
        </w:rPr>
        <w:t xml:space="preserve">онкретный результат библиотечного обслуживания, удовлетворяющий определенную потребность </w:t>
      </w:r>
      <w:r w:rsidR="00E62FB3" w:rsidRPr="000248D2">
        <w:rPr>
          <w:rFonts w:ascii="Times New Roman" w:hAnsi="Times New Roman" w:cs="Times New Roman"/>
          <w:sz w:val="28"/>
          <w:szCs w:val="28"/>
        </w:rPr>
        <w:lastRenderedPageBreak/>
        <w:t>пользователя библиотеки (выдача документов, предоставление информации о новых поступлениях, справки, выставки, консультации и т.д.).</w:t>
      </w:r>
    </w:p>
    <w:p w:rsidR="00223C31" w:rsidRPr="000248D2" w:rsidRDefault="00223C31" w:rsidP="000248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b/>
          <w:sz w:val="28"/>
          <w:szCs w:val="28"/>
        </w:rPr>
        <w:t>Библиотечное мероприятие</w:t>
      </w:r>
      <w:r w:rsidRPr="000248D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248D2">
        <w:rPr>
          <w:rFonts w:ascii="Times New Roman" w:hAnsi="Times New Roman" w:cs="Times New Roman"/>
          <w:sz w:val="28"/>
          <w:szCs w:val="28"/>
        </w:rPr>
        <w:t>– вид библиотечной услуги, представляющий собой совокупность действий и организационных форм, ориентированных на целевые группы участников для удовлетворения их потребностей в знании, информации, повышении квалификации, получении навыков работы с библиотечно-информационными ресурсами, общении.</w:t>
      </w:r>
    </w:p>
    <w:p w:rsidR="009334C2" w:rsidRPr="000248D2" w:rsidRDefault="009334C2" w:rsidP="000248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b/>
          <w:sz w:val="28"/>
          <w:szCs w:val="28"/>
        </w:rPr>
        <w:t>Библиографическая справка</w:t>
      </w:r>
      <w:r w:rsidRPr="000248D2">
        <w:rPr>
          <w:rFonts w:ascii="Times New Roman" w:hAnsi="Times New Roman" w:cs="Times New Roman"/>
          <w:sz w:val="28"/>
          <w:szCs w:val="28"/>
        </w:rPr>
        <w:t xml:space="preserve"> – ответ на разовый запрос, содержащий библиографическую информацию о наличии и (или) местонахождении документа (адресная справка), о содержании библиографической информации по определенной теме (тематическая справка); об отсутствующих или искаженных в запросе элементах библиографического описания (уточняющая справка)</w:t>
      </w:r>
    </w:p>
    <w:p w:rsidR="002521CE" w:rsidRPr="000248D2" w:rsidRDefault="002521CE" w:rsidP="000248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b/>
          <w:sz w:val="28"/>
          <w:szCs w:val="28"/>
        </w:rPr>
        <w:t xml:space="preserve">Консультация </w:t>
      </w:r>
      <w:r w:rsidRPr="000248D2">
        <w:rPr>
          <w:rFonts w:ascii="Times New Roman" w:hAnsi="Times New Roman" w:cs="Times New Roman"/>
          <w:sz w:val="28"/>
          <w:szCs w:val="28"/>
        </w:rPr>
        <w:t>– ответ на запрос пользователя, содержащий не конкретные запрашиваемые данные, а указывающий путь к их самостоятельному получению.</w:t>
      </w:r>
    </w:p>
    <w:p w:rsidR="00A26352" w:rsidRPr="000248D2" w:rsidRDefault="00A26352" w:rsidP="000248D2">
      <w:pPr>
        <w:pStyle w:val="formattext"/>
        <w:ind w:firstLine="709"/>
        <w:rPr>
          <w:sz w:val="28"/>
          <w:szCs w:val="28"/>
        </w:rPr>
      </w:pPr>
      <w:r w:rsidRPr="000248D2">
        <w:rPr>
          <w:rFonts w:eastAsiaTheme="minorHAnsi"/>
          <w:b/>
          <w:sz w:val="28"/>
          <w:szCs w:val="28"/>
          <w:lang w:eastAsia="en-US"/>
        </w:rPr>
        <w:t>Документы на физических носителях</w:t>
      </w:r>
      <w:r w:rsidRPr="000248D2">
        <w:rPr>
          <w:sz w:val="28"/>
          <w:szCs w:val="28"/>
        </w:rPr>
        <w:t xml:space="preserve"> - это все печатные, электронные, аудио-визуальные документы, имеющиеся в фонде библиотек.</w:t>
      </w:r>
    </w:p>
    <w:p w:rsidR="00A26352" w:rsidRPr="000248D2" w:rsidRDefault="00A26352" w:rsidP="000248D2">
      <w:pPr>
        <w:pStyle w:val="formattext"/>
        <w:ind w:firstLine="709"/>
        <w:rPr>
          <w:sz w:val="28"/>
          <w:szCs w:val="28"/>
        </w:rPr>
      </w:pPr>
      <w:r w:rsidRPr="000248D2">
        <w:rPr>
          <w:rFonts w:eastAsiaTheme="minorHAnsi"/>
          <w:b/>
          <w:sz w:val="28"/>
          <w:szCs w:val="28"/>
          <w:lang w:eastAsia="en-US"/>
        </w:rPr>
        <w:t>Инсталлированные документы</w:t>
      </w:r>
      <w:r w:rsidRPr="000248D2">
        <w:rPr>
          <w:sz w:val="28"/>
          <w:szCs w:val="28"/>
        </w:rPr>
        <w:t xml:space="preserve"> – полнотекстовые документы, имеющие самостоятельное заглавие и включенные в базы данных, которые размещены на автономных автоматизированн</w:t>
      </w:r>
      <w:r w:rsidR="00332824">
        <w:rPr>
          <w:sz w:val="28"/>
          <w:szCs w:val="28"/>
        </w:rPr>
        <w:t>ых рабочих станциях библиотеки</w:t>
      </w:r>
      <w:r w:rsidRPr="000248D2">
        <w:rPr>
          <w:sz w:val="28"/>
          <w:szCs w:val="28"/>
        </w:rPr>
        <w:t xml:space="preserve">. </w:t>
      </w:r>
    </w:p>
    <w:p w:rsidR="00A26352" w:rsidRPr="000248D2" w:rsidRDefault="00A26352" w:rsidP="000248D2">
      <w:pPr>
        <w:pStyle w:val="formattext"/>
        <w:ind w:firstLine="709"/>
        <w:rPr>
          <w:sz w:val="28"/>
          <w:szCs w:val="28"/>
        </w:rPr>
      </w:pPr>
      <w:r w:rsidRPr="000248D2">
        <w:rPr>
          <w:rFonts w:eastAsiaTheme="minorHAnsi"/>
          <w:b/>
          <w:sz w:val="28"/>
          <w:szCs w:val="28"/>
          <w:lang w:eastAsia="en-US"/>
        </w:rPr>
        <w:t>Сетевые удаленные лицензионные документы</w:t>
      </w:r>
      <w:r w:rsidRPr="000248D2">
        <w:rPr>
          <w:sz w:val="28"/>
          <w:szCs w:val="28"/>
        </w:rPr>
        <w:t xml:space="preserve"> – документы, генерируемые другими организациями (издательствами, агрегаторами) и размещенные на их технических площадках, полученные библиотекой во временное или постоянное пользование на условиях договора, контракта, лицензионного соглашения с производителями информации на платной или бесплатной основе.</w:t>
      </w:r>
    </w:p>
    <w:p w:rsidR="0004040A" w:rsidRDefault="0004040A" w:rsidP="000248D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40A" w:rsidRDefault="0004040A" w:rsidP="000248D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040A" w:rsidRDefault="0004040A" w:rsidP="000248D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12DA" w:rsidRPr="000248D2" w:rsidRDefault="0004040A" w:rsidP="000248D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7F0575" w:rsidRPr="000248D2">
        <w:rPr>
          <w:rFonts w:ascii="Times New Roman" w:hAnsi="Times New Roman" w:cs="Times New Roman"/>
          <w:b/>
          <w:sz w:val="28"/>
          <w:szCs w:val="28"/>
        </w:rPr>
        <w:t>Учет пользователей</w:t>
      </w:r>
    </w:p>
    <w:p w:rsidR="00757EAF" w:rsidRPr="000248D2" w:rsidRDefault="00E7248D" w:rsidP="000248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sz w:val="28"/>
          <w:szCs w:val="28"/>
        </w:rPr>
        <w:t xml:space="preserve">Единицей учета </w:t>
      </w:r>
      <w:r w:rsidR="005833A3" w:rsidRPr="000248D2">
        <w:rPr>
          <w:rFonts w:ascii="Times New Roman" w:hAnsi="Times New Roman" w:cs="Times New Roman"/>
          <w:sz w:val="28"/>
          <w:szCs w:val="28"/>
        </w:rPr>
        <w:t>пользователей</w:t>
      </w:r>
      <w:r w:rsidRPr="000248D2">
        <w:rPr>
          <w:rFonts w:ascii="Times New Roman" w:hAnsi="Times New Roman" w:cs="Times New Roman"/>
          <w:sz w:val="28"/>
          <w:szCs w:val="28"/>
        </w:rPr>
        <w:t xml:space="preserve"> </w:t>
      </w:r>
      <w:r w:rsidR="001F567D" w:rsidRPr="000248D2">
        <w:rPr>
          <w:rFonts w:ascii="Times New Roman" w:hAnsi="Times New Roman" w:cs="Times New Roman"/>
          <w:sz w:val="28"/>
          <w:szCs w:val="28"/>
        </w:rPr>
        <w:t xml:space="preserve">стационарных и внестационарных форм обслуживания </w:t>
      </w:r>
      <w:r w:rsidRPr="000248D2">
        <w:rPr>
          <w:rFonts w:ascii="Times New Roman" w:hAnsi="Times New Roman" w:cs="Times New Roman"/>
          <w:sz w:val="28"/>
          <w:szCs w:val="28"/>
        </w:rPr>
        <w:t xml:space="preserve">является лицо, </w:t>
      </w:r>
      <w:r w:rsidR="00534433" w:rsidRPr="000248D2">
        <w:rPr>
          <w:rFonts w:ascii="Times New Roman" w:hAnsi="Times New Roman" w:cs="Times New Roman"/>
          <w:sz w:val="28"/>
          <w:szCs w:val="28"/>
        </w:rPr>
        <w:t>получающее библиотечно-информационные услуги в пространстве Библиотек</w:t>
      </w:r>
      <w:r w:rsidR="007D3D7A" w:rsidRPr="000248D2">
        <w:rPr>
          <w:rFonts w:ascii="Times New Roman" w:hAnsi="Times New Roman" w:cs="Times New Roman"/>
          <w:sz w:val="28"/>
          <w:szCs w:val="28"/>
        </w:rPr>
        <w:t>и</w:t>
      </w:r>
      <w:r w:rsidR="00534433" w:rsidRPr="000248D2">
        <w:rPr>
          <w:rFonts w:ascii="Times New Roman" w:hAnsi="Times New Roman" w:cs="Times New Roman"/>
          <w:sz w:val="28"/>
          <w:szCs w:val="28"/>
        </w:rPr>
        <w:t xml:space="preserve"> </w:t>
      </w:r>
      <w:r w:rsidR="00BD16D6" w:rsidRPr="000248D2">
        <w:rPr>
          <w:rFonts w:ascii="Times New Roman" w:hAnsi="Times New Roman" w:cs="Times New Roman"/>
          <w:sz w:val="28"/>
          <w:szCs w:val="28"/>
        </w:rPr>
        <w:t xml:space="preserve">и вне ее </w:t>
      </w:r>
      <w:r w:rsidR="00534433" w:rsidRPr="000248D2">
        <w:rPr>
          <w:rFonts w:ascii="Times New Roman" w:hAnsi="Times New Roman" w:cs="Times New Roman"/>
          <w:sz w:val="28"/>
          <w:szCs w:val="28"/>
        </w:rPr>
        <w:t xml:space="preserve">и </w:t>
      </w:r>
      <w:r w:rsidR="00BD16D6" w:rsidRPr="000248D2">
        <w:rPr>
          <w:rFonts w:ascii="Times New Roman" w:hAnsi="Times New Roman" w:cs="Times New Roman"/>
          <w:sz w:val="28"/>
          <w:szCs w:val="28"/>
        </w:rPr>
        <w:t>зафиксированное в первичной учетной документации.</w:t>
      </w:r>
      <w:r w:rsidR="005E3D1D" w:rsidRPr="00024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67D" w:rsidRPr="000248D2" w:rsidRDefault="001F567D" w:rsidP="000248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sz w:val="28"/>
          <w:szCs w:val="28"/>
        </w:rPr>
        <w:t xml:space="preserve">Единицей учета пользователей, обращающихся в </w:t>
      </w:r>
      <w:r w:rsidR="00173CF9">
        <w:rPr>
          <w:rFonts w:ascii="Times New Roman" w:hAnsi="Times New Roman" w:cs="Times New Roman"/>
          <w:sz w:val="28"/>
          <w:szCs w:val="28"/>
        </w:rPr>
        <w:t>б</w:t>
      </w:r>
      <w:r w:rsidRPr="000248D2">
        <w:rPr>
          <w:rFonts w:ascii="Times New Roman" w:hAnsi="Times New Roman" w:cs="Times New Roman"/>
          <w:sz w:val="28"/>
          <w:szCs w:val="28"/>
        </w:rPr>
        <w:t>иблиотеку через электронные информационные сети, является код пользователя (лица или организаци</w:t>
      </w:r>
      <w:r w:rsidR="00242B5A" w:rsidRPr="000248D2">
        <w:rPr>
          <w:rFonts w:ascii="Times New Roman" w:hAnsi="Times New Roman" w:cs="Times New Roman"/>
          <w:sz w:val="28"/>
          <w:szCs w:val="28"/>
        </w:rPr>
        <w:t xml:space="preserve">и), зафиксированный на сервере. </w:t>
      </w:r>
    </w:p>
    <w:p w:rsidR="005833A3" w:rsidRPr="000248D2" w:rsidRDefault="005833A3" w:rsidP="000248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sz w:val="28"/>
          <w:szCs w:val="28"/>
        </w:rPr>
        <w:t>Основанием  для  учета  пользователей  является  их  первичное  обращение  с  целью  получения библиотечно-информационн</w:t>
      </w:r>
      <w:r w:rsidR="00223C31" w:rsidRPr="000248D2">
        <w:rPr>
          <w:rFonts w:ascii="Times New Roman" w:hAnsi="Times New Roman" w:cs="Times New Roman"/>
          <w:sz w:val="28"/>
          <w:szCs w:val="28"/>
        </w:rPr>
        <w:t xml:space="preserve">ой услуги. </w:t>
      </w:r>
      <w:r w:rsidR="001D6E87" w:rsidRPr="000248D2">
        <w:rPr>
          <w:rFonts w:ascii="Times New Roman" w:hAnsi="Times New Roman" w:cs="Times New Roman"/>
          <w:sz w:val="28"/>
          <w:szCs w:val="28"/>
        </w:rPr>
        <w:t>Учитываются перерегистрированные и вновь записанные в отчетном году пользователи.</w:t>
      </w:r>
      <w:r w:rsidR="002D6784" w:rsidRPr="000248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C31" w:rsidRPr="000248D2" w:rsidRDefault="001D6E87" w:rsidP="000248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sz w:val="28"/>
          <w:szCs w:val="28"/>
        </w:rPr>
        <w:t>Регистрация</w:t>
      </w:r>
      <w:r w:rsidR="00223C31" w:rsidRPr="000248D2">
        <w:rPr>
          <w:rFonts w:ascii="Times New Roman" w:hAnsi="Times New Roman" w:cs="Times New Roman"/>
          <w:sz w:val="28"/>
          <w:szCs w:val="28"/>
        </w:rPr>
        <w:t xml:space="preserve"> пользователя производится в соответствии </w:t>
      </w:r>
      <w:r w:rsidR="00CF5579" w:rsidRPr="000248D2">
        <w:rPr>
          <w:rFonts w:ascii="Times New Roman" w:hAnsi="Times New Roman" w:cs="Times New Roman"/>
          <w:sz w:val="28"/>
          <w:szCs w:val="28"/>
        </w:rPr>
        <w:t xml:space="preserve">с </w:t>
      </w:r>
      <w:r w:rsidR="00223C31" w:rsidRPr="000248D2">
        <w:rPr>
          <w:rFonts w:ascii="Times New Roman" w:hAnsi="Times New Roman" w:cs="Times New Roman"/>
          <w:sz w:val="28"/>
          <w:szCs w:val="28"/>
        </w:rPr>
        <w:t>Правилами пользования</w:t>
      </w:r>
      <w:r w:rsidR="00173CF9">
        <w:rPr>
          <w:rFonts w:ascii="Times New Roman" w:hAnsi="Times New Roman" w:cs="Times New Roman"/>
          <w:sz w:val="28"/>
          <w:szCs w:val="28"/>
        </w:rPr>
        <w:t xml:space="preserve"> б</w:t>
      </w:r>
      <w:r w:rsidR="00223C31" w:rsidRPr="000248D2">
        <w:rPr>
          <w:rFonts w:ascii="Times New Roman" w:hAnsi="Times New Roman" w:cs="Times New Roman"/>
          <w:sz w:val="28"/>
          <w:szCs w:val="28"/>
        </w:rPr>
        <w:t>иблиотекой и Административны</w:t>
      </w:r>
      <w:r w:rsidR="00CF5579" w:rsidRPr="000248D2">
        <w:rPr>
          <w:rFonts w:ascii="Times New Roman" w:hAnsi="Times New Roman" w:cs="Times New Roman"/>
          <w:sz w:val="28"/>
          <w:szCs w:val="28"/>
        </w:rPr>
        <w:t>ми</w:t>
      </w:r>
      <w:r w:rsidR="00223C31" w:rsidRPr="000248D2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CF5579" w:rsidRPr="000248D2">
        <w:rPr>
          <w:rFonts w:ascii="Times New Roman" w:hAnsi="Times New Roman" w:cs="Times New Roman"/>
          <w:sz w:val="28"/>
          <w:szCs w:val="28"/>
        </w:rPr>
        <w:t xml:space="preserve">ами </w:t>
      </w:r>
      <w:r w:rsidR="00223C31" w:rsidRPr="000248D2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173CF9">
        <w:rPr>
          <w:rFonts w:ascii="Times New Roman" w:hAnsi="Times New Roman" w:cs="Times New Roman"/>
          <w:sz w:val="28"/>
          <w:szCs w:val="28"/>
        </w:rPr>
        <w:t>б</w:t>
      </w:r>
      <w:r w:rsidR="00CF5579" w:rsidRPr="000248D2">
        <w:rPr>
          <w:rFonts w:ascii="Times New Roman" w:hAnsi="Times New Roman" w:cs="Times New Roman"/>
          <w:sz w:val="28"/>
          <w:szCs w:val="28"/>
        </w:rPr>
        <w:t xml:space="preserve">иблиотекой </w:t>
      </w:r>
      <w:r w:rsidR="00223C31" w:rsidRPr="000248D2">
        <w:rPr>
          <w:rFonts w:ascii="Times New Roman" w:hAnsi="Times New Roman" w:cs="Times New Roman"/>
          <w:sz w:val="28"/>
          <w:szCs w:val="28"/>
        </w:rPr>
        <w:t>муниципальн</w:t>
      </w:r>
      <w:r w:rsidR="00CF5579" w:rsidRPr="000248D2">
        <w:rPr>
          <w:rFonts w:ascii="Times New Roman" w:hAnsi="Times New Roman" w:cs="Times New Roman"/>
          <w:sz w:val="28"/>
          <w:szCs w:val="28"/>
        </w:rPr>
        <w:t>ых услуг.</w:t>
      </w:r>
    </w:p>
    <w:p w:rsidR="001D6E87" w:rsidRPr="000248D2" w:rsidRDefault="001D6E87" w:rsidP="000248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sz w:val="28"/>
          <w:szCs w:val="28"/>
        </w:rPr>
        <w:t xml:space="preserve">Учет  пользователей  ведется  в  каждом структурном подразделении библиотеки при их обращении в подразделение. </w:t>
      </w:r>
    </w:p>
    <w:p w:rsidR="005E3D1D" w:rsidRPr="000248D2" w:rsidRDefault="005E3D1D" w:rsidP="000248D2">
      <w:pPr>
        <w:pStyle w:val="formattext"/>
        <w:spacing w:before="0" w:beforeAutospacing="0" w:after="0" w:afterAutospacing="0"/>
        <w:ind w:firstLine="709"/>
        <w:rPr>
          <w:sz w:val="28"/>
          <w:szCs w:val="28"/>
        </w:rPr>
      </w:pPr>
      <w:r w:rsidRPr="000248D2">
        <w:rPr>
          <w:sz w:val="28"/>
          <w:szCs w:val="28"/>
        </w:rPr>
        <w:t>Количество пользователей</w:t>
      </w:r>
      <w:r w:rsidR="00790E30" w:rsidRPr="000248D2">
        <w:rPr>
          <w:sz w:val="28"/>
          <w:szCs w:val="28"/>
        </w:rPr>
        <w:t xml:space="preserve"> б</w:t>
      </w:r>
      <w:r w:rsidRPr="000248D2">
        <w:rPr>
          <w:sz w:val="28"/>
          <w:szCs w:val="28"/>
        </w:rPr>
        <w:t>иблиотеки определяется на основании данных выгрузки автоматизированных систем</w:t>
      </w:r>
      <w:r w:rsidR="001F6A61" w:rsidRPr="000248D2">
        <w:rPr>
          <w:sz w:val="28"/>
          <w:szCs w:val="28"/>
        </w:rPr>
        <w:t xml:space="preserve"> учета</w:t>
      </w:r>
      <w:r w:rsidRPr="000248D2">
        <w:rPr>
          <w:sz w:val="28"/>
          <w:szCs w:val="28"/>
        </w:rPr>
        <w:t xml:space="preserve">, </w:t>
      </w:r>
      <w:r w:rsidR="00A173F6" w:rsidRPr="000248D2">
        <w:rPr>
          <w:sz w:val="28"/>
          <w:szCs w:val="28"/>
        </w:rPr>
        <w:t xml:space="preserve">дневников структурных подразделений, </w:t>
      </w:r>
      <w:r w:rsidRPr="000248D2">
        <w:rPr>
          <w:sz w:val="28"/>
          <w:szCs w:val="28"/>
        </w:rPr>
        <w:t xml:space="preserve">формуляров </w:t>
      </w:r>
      <w:r w:rsidR="00A173F6" w:rsidRPr="000248D2">
        <w:rPr>
          <w:sz w:val="28"/>
          <w:szCs w:val="28"/>
        </w:rPr>
        <w:t>пользователей, формуляров и</w:t>
      </w:r>
      <w:r w:rsidR="00B56937" w:rsidRPr="000248D2">
        <w:rPr>
          <w:sz w:val="28"/>
          <w:szCs w:val="28"/>
        </w:rPr>
        <w:t>/или</w:t>
      </w:r>
      <w:r w:rsidR="00A173F6" w:rsidRPr="000248D2">
        <w:rPr>
          <w:sz w:val="28"/>
          <w:szCs w:val="28"/>
        </w:rPr>
        <w:t xml:space="preserve"> учетных листков всех форм внестационарного обслуживания</w:t>
      </w:r>
      <w:r w:rsidR="00B56937" w:rsidRPr="000248D2">
        <w:rPr>
          <w:sz w:val="28"/>
          <w:szCs w:val="28"/>
        </w:rPr>
        <w:t>.</w:t>
      </w:r>
    </w:p>
    <w:p w:rsidR="0013147D" w:rsidRPr="000248D2" w:rsidRDefault="0013147D" w:rsidP="001314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внесения статистических показателей в ф</w:t>
      </w:r>
      <w:r w:rsidRPr="00936739">
        <w:rPr>
          <w:rFonts w:ascii="Times New Roman" w:hAnsi="Times New Roman" w:cs="Times New Roman"/>
          <w:sz w:val="28"/>
          <w:szCs w:val="28"/>
        </w:rPr>
        <w:t>орму федерального статистического наблюдения № 6-НК</w:t>
      </w:r>
      <w:r>
        <w:rPr>
          <w:rFonts w:ascii="Times New Roman" w:hAnsi="Times New Roman" w:cs="Times New Roman"/>
          <w:sz w:val="28"/>
          <w:szCs w:val="28"/>
        </w:rPr>
        <w:t>, учет пользователей</w:t>
      </w:r>
      <w:r w:rsidRPr="000248D2">
        <w:rPr>
          <w:rFonts w:ascii="Times New Roman" w:hAnsi="Times New Roman" w:cs="Times New Roman"/>
          <w:sz w:val="28"/>
          <w:szCs w:val="28"/>
        </w:rPr>
        <w:t xml:space="preserve"> осуществляется по следующим параметрам:</w:t>
      </w:r>
    </w:p>
    <w:p w:rsidR="0013147D" w:rsidRPr="000248D2" w:rsidRDefault="0013147D" w:rsidP="001314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sz w:val="28"/>
          <w:szCs w:val="28"/>
        </w:rPr>
        <w:t xml:space="preserve">- количество </w:t>
      </w:r>
      <w:r>
        <w:rPr>
          <w:rFonts w:ascii="Times New Roman" w:hAnsi="Times New Roman" w:cs="Times New Roman"/>
          <w:sz w:val="28"/>
          <w:szCs w:val="28"/>
        </w:rPr>
        <w:t>пользователей</w:t>
      </w:r>
      <w:r w:rsidRPr="000248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обслуженных в стационарных условиях</w:t>
      </w:r>
      <w:r w:rsidRPr="000248D2">
        <w:rPr>
          <w:rFonts w:ascii="Times New Roman" w:hAnsi="Times New Roman" w:cs="Times New Roman"/>
          <w:sz w:val="28"/>
          <w:szCs w:val="28"/>
        </w:rPr>
        <w:t>:</w:t>
      </w:r>
    </w:p>
    <w:p w:rsidR="0013147D" w:rsidRPr="000248D2" w:rsidRDefault="0013147D" w:rsidP="001314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дети</w:t>
      </w:r>
      <w:r w:rsidRPr="000248D2">
        <w:rPr>
          <w:rFonts w:ascii="Times New Roman" w:hAnsi="Times New Roman" w:cs="Times New Roman"/>
          <w:sz w:val="28"/>
          <w:szCs w:val="28"/>
        </w:rPr>
        <w:t xml:space="preserve"> до 14 лет включительно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147D" w:rsidRPr="000248D2" w:rsidRDefault="0013147D" w:rsidP="001314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0248D2">
        <w:rPr>
          <w:rFonts w:ascii="Times New Roman" w:hAnsi="Times New Roman" w:cs="Times New Roman"/>
          <w:sz w:val="28"/>
          <w:szCs w:val="28"/>
        </w:rPr>
        <w:t>молодеж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0248D2">
        <w:rPr>
          <w:rFonts w:ascii="Times New Roman" w:hAnsi="Times New Roman" w:cs="Times New Roman"/>
          <w:sz w:val="28"/>
          <w:szCs w:val="28"/>
        </w:rPr>
        <w:t xml:space="preserve"> 15-30 лет включительно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147D" w:rsidRDefault="0013147D" w:rsidP="001314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sz w:val="28"/>
          <w:szCs w:val="28"/>
        </w:rPr>
        <w:t xml:space="preserve">- количество </w:t>
      </w:r>
      <w:r>
        <w:rPr>
          <w:rFonts w:ascii="Times New Roman" w:hAnsi="Times New Roman" w:cs="Times New Roman"/>
          <w:sz w:val="28"/>
          <w:szCs w:val="28"/>
        </w:rPr>
        <w:t>пользователей обслуженных во внестационарных условиях, в том числе в удаленных пользователей.</w:t>
      </w:r>
    </w:p>
    <w:p w:rsidR="0013147D" w:rsidRPr="000248D2" w:rsidRDefault="0013147D" w:rsidP="0013147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аналитического анализа деятельности библиотек также необходим учет</w:t>
      </w:r>
      <w:r w:rsidR="005257B5">
        <w:rPr>
          <w:rFonts w:ascii="Times New Roman" w:hAnsi="Times New Roman" w:cs="Times New Roman"/>
          <w:sz w:val="28"/>
          <w:szCs w:val="28"/>
        </w:rPr>
        <w:t xml:space="preserve">, обслуженных во внестационарных условиях детей </w:t>
      </w:r>
      <w:r>
        <w:rPr>
          <w:rFonts w:ascii="Times New Roman" w:hAnsi="Times New Roman" w:cs="Times New Roman"/>
          <w:sz w:val="28"/>
          <w:szCs w:val="28"/>
        </w:rPr>
        <w:t xml:space="preserve">до 14 лет </w:t>
      </w:r>
      <w:r w:rsidRPr="000248D2">
        <w:rPr>
          <w:rFonts w:ascii="Times New Roman" w:hAnsi="Times New Roman" w:cs="Times New Roman"/>
          <w:sz w:val="28"/>
          <w:szCs w:val="28"/>
        </w:rPr>
        <w:t>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 и молодежи </w:t>
      </w:r>
      <w:r w:rsidRPr="000248D2">
        <w:rPr>
          <w:rFonts w:ascii="Times New Roman" w:hAnsi="Times New Roman" w:cs="Times New Roman"/>
          <w:sz w:val="28"/>
          <w:szCs w:val="28"/>
        </w:rPr>
        <w:t>15-30 лет 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937" w:rsidRPr="000248D2" w:rsidRDefault="00B56937" w:rsidP="000248D2">
      <w:pPr>
        <w:pStyle w:val="formattext"/>
        <w:spacing w:before="0" w:beforeAutospacing="0" w:after="0" w:afterAutospacing="0"/>
        <w:ind w:firstLine="709"/>
        <w:rPr>
          <w:sz w:val="28"/>
          <w:szCs w:val="28"/>
        </w:rPr>
      </w:pPr>
    </w:p>
    <w:p w:rsidR="00B56937" w:rsidRPr="000248D2" w:rsidRDefault="008B5DE2" w:rsidP="000248D2">
      <w:pPr>
        <w:pStyle w:val="formattext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="0004040A">
        <w:rPr>
          <w:b/>
          <w:bCs/>
          <w:sz w:val="28"/>
          <w:szCs w:val="28"/>
        </w:rPr>
        <w:t xml:space="preserve">. </w:t>
      </w:r>
      <w:r w:rsidR="00B56937" w:rsidRPr="000248D2">
        <w:rPr>
          <w:b/>
          <w:bCs/>
          <w:sz w:val="28"/>
          <w:szCs w:val="28"/>
        </w:rPr>
        <w:t>Учёт посещений</w:t>
      </w:r>
    </w:p>
    <w:p w:rsidR="002D6784" w:rsidRPr="000248D2" w:rsidRDefault="002D6784" w:rsidP="000248D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A0AB7" w:rsidRPr="000248D2" w:rsidRDefault="001F6A61" w:rsidP="000248D2">
      <w:pPr>
        <w:pStyle w:val="formattext"/>
        <w:spacing w:before="0" w:beforeAutospacing="0" w:after="0" w:afterAutospacing="0"/>
        <w:ind w:firstLine="709"/>
        <w:rPr>
          <w:sz w:val="28"/>
          <w:szCs w:val="28"/>
        </w:rPr>
      </w:pPr>
      <w:r w:rsidRPr="000248D2">
        <w:rPr>
          <w:sz w:val="28"/>
          <w:szCs w:val="28"/>
        </w:rPr>
        <w:t xml:space="preserve">Количественные показатели посещений библиотеки и обращения пользователей к ее электронным ресурсам подсчитываются дифференцированно по целям посещения. Единицей </w:t>
      </w:r>
      <w:r w:rsidR="00790E30" w:rsidRPr="000248D2">
        <w:rPr>
          <w:sz w:val="28"/>
          <w:szCs w:val="28"/>
        </w:rPr>
        <w:t>учета</w:t>
      </w:r>
      <w:r w:rsidRPr="000248D2">
        <w:rPr>
          <w:sz w:val="28"/>
          <w:szCs w:val="28"/>
        </w:rPr>
        <w:t xml:space="preserve"> количества </w:t>
      </w:r>
      <w:r w:rsidR="00790E30" w:rsidRPr="000248D2">
        <w:rPr>
          <w:sz w:val="28"/>
          <w:szCs w:val="28"/>
        </w:rPr>
        <w:t xml:space="preserve">посещений </w:t>
      </w:r>
      <w:r w:rsidRPr="000248D2">
        <w:rPr>
          <w:sz w:val="28"/>
          <w:szCs w:val="28"/>
        </w:rPr>
        <w:t>является приход пользователя в библиотеку или обращение (сессия) к ее веб-сайтам:</w:t>
      </w:r>
      <w:r w:rsidRPr="000248D2">
        <w:rPr>
          <w:sz w:val="28"/>
          <w:szCs w:val="28"/>
        </w:rPr>
        <w:br/>
        <w:t>- посещения библиотеки в целом, п</w:t>
      </w:r>
      <w:r w:rsidR="00697045" w:rsidRPr="000248D2">
        <w:rPr>
          <w:sz w:val="28"/>
          <w:szCs w:val="28"/>
        </w:rPr>
        <w:t>о ее структурным подразделениям</w:t>
      </w:r>
      <w:r w:rsidRPr="000248D2">
        <w:rPr>
          <w:sz w:val="28"/>
          <w:szCs w:val="28"/>
        </w:rPr>
        <w:t>;</w:t>
      </w:r>
      <w:r w:rsidRPr="000248D2">
        <w:rPr>
          <w:sz w:val="28"/>
          <w:szCs w:val="28"/>
        </w:rPr>
        <w:br/>
        <w:t>- посещения библиотечных веб-сайтов всех уровней, имеющих отдельные счетчики, исключая блоги и аккаунты в социальных сетях;</w:t>
      </w:r>
      <w:r w:rsidRPr="000248D2">
        <w:rPr>
          <w:sz w:val="28"/>
          <w:szCs w:val="28"/>
        </w:rPr>
        <w:br/>
        <w:t>- посещения социокультурных мероприятий, организованных библиотекой (выставок, экскурсий, творческих вечеров, презентаций и т.д.);</w:t>
      </w:r>
      <w:r w:rsidRPr="000248D2">
        <w:rPr>
          <w:sz w:val="28"/>
          <w:szCs w:val="28"/>
        </w:rPr>
        <w:br/>
        <w:t>- посещения научных мероприятий;</w:t>
      </w:r>
      <w:r w:rsidRPr="000248D2">
        <w:rPr>
          <w:sz w:val="28"/>
          <w:szCs w:val="28"/>
        </w:rPr>
        <w:br/>
        <w:t>- посещения Интернет-конференций, проводимых библиотекой;</w:t>
      </w:r>
      <w:r w:rsidRPr="000248D2">
        <w:rPr>
          <w:sz w:val="28"/>
          <w:szCs w:val="28"/>
        </w:rPr>
        <w:br/>
        <w:t>- обращения к удаленным лицензионным ресурсам, предоставляемые библиотекой;</w:t>
      </w:r>
      <w:r w:rsidRPr="000248D2">
        <w:rPr>
          <w:sz w:val="28"/>
          <w:szCs w:val="28"/>
        </w:rPr>
        <w:br/>
        <w:t>- обращения к каталогам и справочно-библиографическим картотекам;</w:t>
      </w:r>
      <w:r w:rsidRPr="000248D2">
        <w:rPr>
          <w:sz w:val="28"/>
          <w:szCs w:val="28"/>
        </w:rPr>
        <w:br/>
        <w:t>- обращения к электронным каталогам и справочно-библиографическим базам данных;</w:t>
      </w:r>
      <w:r w:rsidRPr="000248D2">
        <w:rPr>
          <w:sz w:val="28"/>
          <w:szCs w:val="28"/>
        </w:rPr>
        <w:br/>
        <w:t>- обращения к электронным ресурсам открытого доступа, отбираемым и аннотируемым библиотекой;</w:t>
      </w:r>
    </w:p>
    <w:p w:rsidR="001F6A61" w:rsidRPr="000248D2" w:rsidRDefault="00AA0AB7" w:rsidP="00173CF9">
      <w:pPr>
        <w:pStyle w:val="formattext"/>
        <w:spacing w:before="0" w:beforeAutospacing="0" w:after="0" w:afterAutospacing="0"/>
        <w:rPr>
          <w:sz w:val="28"/>
          <w:szCs w:val="28"/>
        </w:rPr>
      </w:pPr>
      <w:r w:rsidRPr="000248D2">
        <w:rPr>
          <w:sz w:val="28"/>
          <w:szCs w:val="28"/>
        </w:rPr>
        <w:t>- обращения в библиотеку посредством средств коммуникации (телефон, почта, факс, телеграф, электронная почта);</w:t>
      </w:r>
      <w:r w:rsidR="001F6A61" w:rsidRPr="000248D2">
        <w:rPr>
          <w:sz w:val="28"/>
          <w:szCs w:val="28"/>
        </w:rPr>
        <w:br/>
        <w:t>- обращения к электронным ресурсам, размещ</w:t>
      </w:r>
      <w:r w:rsidR="00697045" w:rsidRPr="000248D2">
        <w:rPr>
          <w:sz w:val="28"/>
          <w:szCs w:val="28"/>
        </w:rPr>
        <w:t>енным на веб-сайтах библиотеки.</w:t>
      </w:r>
    </w:p>
    <w:p w:rsidR="001F6A61" w:rsidRPr="000248D2" w:rsidRDefault="001F6A61" w:rsidP="000248D2">
      <w:pPr>
        <w:pStyle w:val="formattext"/>
        <w:ind w:firstLine="709"/>
        <w:rPr>
          <w:sz w:val="28"/>
          <w:szCs w:val="28"/>
        </w:rPr>
      </w:pPr>
      <w:r w:rsidRPr="000248D2">
        <w:rPr>
          <w:sz w:val="28"/>
          <w:szCs w:val="28"/>
        </w:rPr>
        <w:t xml:space="preserve">Единицей </w:t>
      </w:r>
      <w:r w:rsidR="00790E30" w:rsidRPr="000248D2">
        <w:rPr>
          <w:sz w:val="28"/>
          <w:szCs w:val="28"/>
        </w:rPr>
        <w:t>учета</w:t>
      </w:r>
      <w:r w:rsidRPr="000248D2">
        <w:rPr>
          <w:sz w:val="28"/>
          <w:szCs w:val="28"/>
        </w:rPr>
        <w:t xml:space="preserve"> количества посещений вне стационара является приход пользователя в библиотечный пункт, на стоянку передвижной библиотеки. Посещениями коллективного абонемента считаются посещения библиотекарем организации или учреждения, с которыми заключен договор о библиотечном обслуживании. При книгоношестве посещением считается приход библиотекаря по месту жительства читателя.</w:t>
      </w:r>
    </w:p>
    <w:p w:rsidR="00697045" w:rsidRPr="000248D2" w:rsidRDefault="00697045" w:rsidP="000248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sz w:val="28"/>
          <w:szCs w:val="28"/>
        </w:rPr>
        <w:t xml:space="preserve">Обращения в библиотеку </w:t>
      </w:r>
      <w:r w:rsidR="00173CF9">
        <w:rPr>
          <w:rFonts w:ascii="Times New Roman" w:hAnsi="Times New Roman" w:cs="Times New Roman"/>
          <w:sz w:val="28"/>
          <w:szCs w:val="28"/>
        </w:rPr>
        <w:t>с помощью</w:t>
      </w:r>
      <w:r w:rsidRPr="000248D2">
        <w:rPr>
          <w:rFonts w:ascii="Times New Roman" w:hAnsi="Times New Roman" w:cs="Times New Roman"/>
          <w:sz w:val="28"/>
          <w:szCs w:val="28"/>
        </w:rPr>
        <w:t xml:space="preserve"> средств коммуникации </w:t>
      </w:r>
      <w:r w:rsidR="00AA0AB7" w:rsidRPr="000248D2">
        <w:rPr>
          <w:rFonts w:ascii="Times New Roman" w:hAnsi="Times New Roman" w:cs="Times New Roman"/>
          <w:sz w:val="28"/>
          <w:szCs w:val="28"/>
        </w:rPr>
        <w:t xml:space="preserve">(исключая обращения к веб-сайтам </w:t>
      </w:r>
      <w:r w:rsidR="00371A42" w:rsidRPr="000248D2">
        <w:rPr>
          <w:rFonts w:ascii="Times New Roman" w:hAnsi="Times New Roman" w:cs="Times New Roman"/>
          <w:sz w:val="28"/>
          <w:szCs w:val="28"/>
        </w:rPr>
        <w:t xml:space="preserve"> и посещения электронных библиотек при наличи</w:t>
      </w:r>
      <w:r w:rsidR="00790E30" w:rsidRPr="000248D2">
        <w:rPr>
          <w:rFonts w:ascii="Times New Roman" w:hAnsi="Times New Roman" w:cs="Times New Roman"/>
          <w:sz w:val="28"/>
          <w:szCs w:val="28"/>
        </w:rPr>
        <w:t>и</w:t>
      </w:r>
      <w:r w:rsidR="00371A42" w:rsidRPr="000248D2">
        <w:rPr>
          <w:rFonts w:ascii="Times New Roman" w:hAnsi="Times New Roman" w:cs="Times New Roman"/>
          <w:sz w:val="28"/>
          <w:szCs w:val="28"/>
        </w:rPr>
        <w:t xml:space="preserve"> счётчика учёта числа посещений и договора на использование ЭБС) </w:t>
      </w:r>
      <w:r w:rsidR="00E90571" w:rsidRPr="000248D2">
        <w:rPr>
          <w:rFonts w:ascii="Times New Roman" w:hAnsi="Times New Roman" w:cs="Times New Roman"/>
          <w:sz w:val="28"/>
          <w:szCs w:val="28"/>
        </w:rPr>
        <w:lastRenderedPageBreak/>
        <w:t>учитываются как посещения библиотеки вне стационара (согласно объяснениям ГИВЦ Минкультуры России</w:t>
      </w:r>
      <w:r w:rsidR="00E90571" w:rsidRPr="00332824">
        <w:rPr>
          <w:rFonts w:ascii="Times New Roman" w:hAnsi="Times New Roman" w:cs="Times New Roman"/>
          <w:sz w:val="18"/>
          <w:szCs w:val="28"/>
          <w:vertAlign w:val="superscript"/>
        </w:rPr>
        <w:footnoteReference w:id="2"/>
      </w:r>
      <w:r w:rsidR="00E90571" w:rsidRPr="000248D2">
        <w:rPr>
          <w:rFonts w:ascii="Times New Roman" w:hAnsi="Times New Roman" w:cs="Times New Roman"/>
          <w:sz w:val="28"/>
          <w:szCs w:val="28"/>
        </w:rPr>
        <w:t>).</w:t>
      </w:r>
    </w:p>
    <w:p w:rsidR="00790E30" w:rsidRPr="000248D2" w:rsidRDefault="00790E30" w:rsidP="000248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sz w:val="28"/>
          <w:szCs w:val="28"/>
        </w:rPr>
        <w:t>Количество посещений библиотеки определяется на основании данных выгрузки автоматизированных систем учета, данных дневников структурных подразделений, формуляров пользователей, формуляров и/или учетных листков всех форм внестационарного обслуживания</w:t>
      </w:r>
      <w:r w:rsidR="00D0367C">
        <w:rPr>
          <w:rFonts w:ascii="Times New Roman" w:hAnsi="Times New Roman" w:cs="Times New Roman"/>
          <w:sz w:val="28"/>
          <w:szCs w:val="28"/>
        </w:rPr>
        <w:t>, паспортов мероприятий</w:t>
      </w:r>
      <w:r w:rsidRPr="000248D2">
        <w:rPr>
          <w:rFonts w:ascii="Times New Roman" w:hAnsi="Times New Roman" w:cs="Times New Roman"/>
          <w:sz w:val="28"/>
          <w:szCs w:val="28"/>
        </w:rPr>
        <w:t xml:space="preserve">. </w:t>
      </w:r>
      <w:r w:rsidR="00023483" w:rsidRPr="000248D2">
        <w:rPr>
          <w:rFonts w:ascii="Times New Roman" w:hAnsi="Times New Roman" w:cs="Times New Roman"/>
          <w:sz w:val="28"/>
          <w:szCs w:val="28"/>
        </w:rPr>
        <w:t xml:space="preserve">Счетчики </w:t>
      </w:r>
      <w:r w:rsidRPr="000248D2">
        <w:rPr>
          <w:rFonts w:ascii="Times New Roman" w:hAnsi="Times New Roman" w:cs="Times New Roman"/>
          <w:sz w:val="28"/>
          <w:szCs w:val="28"/>
        </w:rPr>
        <w:t xml:space="preserve"> веб-сайта библиотеки</w:t>
      </w:r>
      <w:r w:rsidR="00023483" w:rsidRPr="000248D2">
        <w:rPr>
          <w:rFonts w:ascii="Times New Roman" w:hAnsi="Times New Roman" w:cs="Times New Roman"/>
          <w:sz w:val="28"/>
          <w:szCs w:val="28"/>
        </w:rPr>
        <w:t xml:space="preserve"> должны быть согласованы Министерством культ</w:t>
      </w:r>
      <w:r w:rsidR="004E6A70" w:rsidRPr="000248D2">
        <w:rPr>
          <w:rFonts w:ascii="Times New Roman" w:hAnsi="Times New Roman" w:cs="Times New Roman"/>
          <w:sz w:val="28"/>
          <w:szCs w:val="28"/>
        </w:rPr>
        <w:t>уры, р</w:t>
      </w:r>
      <w:r w:rsidR="00023483" w:rsidRPr="000248D2">
        <w:rPr>
          <w:rFonts w:ascii="Times New Roman" w:hAnsi="Times New Roman" w:cs="Times New Roman"/>
          <w:sz w:val="28"/>
          <w:szCs w:val="28"/>
        </w:rPr>
        <w:t>екомендован счетчик «Цифровая культура» — новый инструмент веб-аналитики на платформе «PRO.Культура.РФ».</w:t>
      </w:r>
      <w:r w:rsidR="004E6A70" w:rsidRPr="000248D2">
        <w:rPr>
          <w:rFonts w:ascii="Times New Roman" w:hAnsi="Times New Roman" w:cs="Times New Roman"/>
          <w:sz w:val="28"/>
          <w:szCs w:val="28"/>
        </w:rPr>
        <w:t xml:space="preserve"> </w:t>
      </w:r>
      <w:r w:rsidR="00A26352" w:rsidRPr="000248D2">
        <w:rPr>
          <w:rFonts w:ascii="Times New Roman" w:hAnsi="Times New Roman" w:cs="Times New Roman"/>
          <w:sz w:val="28"/>
          <w:szCs w:val="28"/>
        </w:rPr>
        <w:t>П</w:t>
      </w:r>
      <w:r w:rsidR="004E6A70" w:rsidRPr="000248D2">
        <w:rPr>
          <w:rFonts w:ascii="Times New Roman" w:hAnsi="Times New Roman" w:cs="Times New Roman"/>
          <w:sz w:val="28"/>
          <w:szCs w:val="28"/>
        </w:rPr>
        <w:t>росмотры прямых трансляций мероприятий, размещенных на платформе «PRO.Культура.РФ»</w:t>
      </w:r>
      <w:r w:rsidR="00A26352" w:rsidRPr="000248D2">
        <w:rPr>
          <w:rFonts w:ascii="Times New Roman" w:hAnsi="Times New Roman" w:cs="Times New Roman"/>
          <w:sz w:val="28"/>
          <w:szCs w:val="28"/>
        </w:rPr>
        <w:t xml:space="preserve"> учитываются на основании счетчиков просмотра мероприятий в личном кабинете </w:t>
      </w:r>
      <w:r w:rsidR="00332824">
        <w:rPr>
          <w:rFonts w:ascii="Times New Roman" w:hAnsi="Times New Roman" w:cs="Times New Roman"/>
          <w:sz w:val="28"/>
          <w:szCs w:val="28"/>
        </w:rPr>
        <w:t xml:space="preserve">на платформе </w:t>
      </w:r>
      <w:r w:rsidR="00A26352" w:rsidRPr="000248D2">
        <w:rPr>
          <w:rFonts w:ascii="Times New Roman" w:hAnsi="Times New Roman" w:cs="Times New Roman"/>
          <w:sz w:val="28"/>
          <w:szCs w:val="28"/>
        </w:rPr>
        <w:t>«PRO.Культура.РФ».</w:t>
      </w:r>
    </w:p>
    <w:p w:rsidR="00023483" w:rsidRDefault="004E6A70" w:rsidP="000248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sz w:val="28"/>
          <w:szCs w:val="28"/>
        </w:rPr>
        <w:t>Учет п</w:t>
      </w:r>
      <w:r w:rsidR="00023483" w:rsidRPr="000248D2">
        <w:rPr>
          <w:rFonts w:ascii="Times New Roman" w:hAnsi="Times New Roman" w:cs="Times New Roman"/>
          <w:sz w:val="28"/>
          <w:szCs w:val="28"/>
        </w:rPr>
        <w:t>росмотр</w:t>
      </w:r>
      <w:r w:rsidRPr="000248D2">
        <w:rPr>
          <w:rFonts w:ascii="Times New Roman" w:hAnsi="Times New Roman" w:cs="Times New Roman"/>
          <w:sz w:val="28"/>
          <w:szCs w:val="28"/>
        </w:rPr>
        <w:t>ов</w:t>
      </w:r>
      <w:r w:rsidR="00023483" w:rsidRPr="000248D2">
        <w:rPr>
          <w:rFonts w:ascii="Times New Roman" w:hAnsi="Times New Roman" w:cs="Times New Roman"/>
          <w:sz w:val="28"/>
          <w:szCs w:val="28"/>
        </w:rPr>
        <w:t xml:space="preserve"> блогов и аккаунтов в социальных сетях </w:t>
      </w:r>
      <w:r w:rsidRPr="000248D2">
        <w:rPr>
          <w:rFonts w:ascii="Times New Roman" w:hAnsi="Times New Roman" w:cs="Times New Roman"/>
          <w:sz w:val="28"/>
          <w:szCs w:val="28"/>
        </w:rPr>
        <w:t xml:space="preserve">необходим для аналитических отчетов о работе отрасли, </w:t>
      </w:r>
      <w:r w:rsidR="00023483" w:rsidRPr="000248D2">
        <w:rPr>
          <w:rFonts w:ascii="Times New Roman" w:hAnsi="Times New Roman" w:cs="Times New Roman"/>
          <w:sz w:val="28"/>
          <w:szCs w:val="28"/>
        </w:rPr>
        <w:t xml:space="preserve">в федеральной статистике </w:t>
      </w:r>
      <w:r w:rsidR="009A5305" w:rsidRPr="000248D2">
        <w:rPr>
          <w:rFonts w:ascii="Times New Roman" w:hAnsi="Times New Roman" w:cs="Times New Roman"/>
          <w:sz w:val="28"/>
          <w:szCs w:val="28"/>
        </w:rPr>
        <w:t>данные не учитываются.</w:t>
      </w:r>
    </w:p>
    <w:p w:rsidR="00173CF9" w:rsidRPr="000248D2" w:rsidRDefault="00173CF9" w:rsidP="00173C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аналитического анализа деятельности библиотек необходим учет посещений детей до 14 лет </w:t>
      </w:r>
      <w:r w:rsidRPr="000248D2">
        <w:rPr>
          <w:rFonts w:ascii="Times New Roman" w:hAnsi="Times New Roman" w:cs="Times New Roman"/>
          <w:sz w:val="28"/>
          <w:szCs w:val="28"/>
        </w:rPr>
        <w:t>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 и молодежи </w:t>
      </w:r>
      <w:r w:rsidRPr="000248D2">
        <w:rPr>
          <w:rFonts w:ascii="Times New Roman" w:hAnsi="Times New Roman" w:cs="Times New Roman"/>
          <w:sz w:val="28"/>
          <w:szCs w:val="28"/>
        </w:rPr>
        <w:t>15-30 лет 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CF9" w:rsidRPr="000248D2" w:rsidRDefault="00173CF9" w:rsidP="000248D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DD0242" w:rsidRPr="000248D2" w:rsidRDefault="008B5DE2" w:rsidP="000248D2">
      <w:pPr>
        <w:pStyle w:val="formattext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Уче</w:t>
      </w:r>
      <w:r w:rsidR="00242B5A" w:rsidRPr="000248D2">
        <w:rPr>
          <w:b/>
          <w:bCs/>
          <w:sz w:val="28"/>
          <w:szCs w:val="28"/>
        </w:rPr>
        <w:t>т выдачи документов</w:t>
      </w:r>
    </w:p>
    <w:p w:rsidR="001F6A61" w:rsidRPr="000248D2" w:rsidRDefault="00CB0227" w:rsidP="000248D2">
      <w:pPr>
        <w:pStyle w:val="formattext"/>
        <w:ind w:firstLine="709"/>
        <w:rPr>
          <w:sz w:val="28"/>
          <w:szCs w:val="28"/>
        </w:rPr>
      </w:pPr>
      <w:r w:rsidRPr="000248D2">
        <w:rPr>
          <w:sz w:val="28"/>
          <w:szCs w:val="28"/>
        </w:rPr>
        <w:t>Выдач</w:t>
      </w:r>
      <w:r w:rsidR="00B518DB" w:rsidRPr="000248D2">
        <w:rPr>
          <w:sz w:val="28"/>
          <w:szCs w:val="28"/>
        </w:rPr>
        <w:t xml:space="preserve">а документа - предоставление в </w:t>
      </w:r>
      <w:r w:rsidRPr="000248D2">
        <w:rPr>
          <w:sz w:val="28"/>
          <w:szCs w:val="28"/>
        </w:rPr>
        <w:t xml:space="preserve">пользование документа из библиотечного фонда по запросу пользователя, в том числе предоставление доступа к электронному документу. </w:t>
      </w:r>
      <w:r w:rsidR="00B518DB" w:rsidRPr="000248D2">
        <w:rPr>
          <w:sz w:val="28"/>
          <w:szCs w:val="28"/>
        </w:rPr>
        <w:t>Учету подлежат все выданные документы (постоянного, длительного, временного хранения), независимо от вида носителя.</w:t>
      </w:r>
    </w:p>
    <w:p w:rsidR="004B6209" w:rsidRDefault="00CB0227" w:rsidP="000248D2">
      <w:pPr>
        <w:pStyle w:val="formattext"/>
        <w:ind w:firstLine="709"/>
        <w:rPr>
          <w:sz w:val="28"/>
          <w:szCs w:val="28"/>
        </w:rPr>
      </w:pPr>
      <w:r w:rsidRPr="000248D2">
        <w:rPr>
          <w:sz w:val="28"/>
          <w:szCs w:val="28"/>
        </w:rPr>
        <w:t xml:space="preserve">Единицей учета выдачи для всех видов изданий и их копий является экземпляр документа. </w:t>
      </w:r>
    </w:p>
    <w:p w:rsidR="004B6209" w:rsidRDefault="00CB0227" w:rsidP="000248D2">
      <w:pPr>
        <w:pStyle w:val="formattext"/>
        <w:ind w:firstLine="709"/>
        <w:rPr>
          <w:sz w:val="28"/>
          <w:szCs w:val="28"/>
        </w:rPr>
      </w:pPr>
      <w:r w:rsidRPr="000248D2">
        <w:rPr>
          <w:sz w:val="28"/>
          <w:szCs w:val="28"/>
        </w:rPr>
        <w:t>Единицей учета периодических изданий является экземпляр или подшивка (годовая).</w:t>
      </w:r>
      <w:r w:rsidR="00B518DB" w:rsidRPr="000248D2">
        <w:rPr>
          <w:sz w:val="28"/>
          <w:szCs w:val="28"/>
        </w:rPr>
        <w:t xml:space="preserve"> </w:t>
      </w:r>
    </w:p>
    <w:p w:rsidR="004B6209" w:rsidRDefault="00B518DB" w:rsidP="000248D2">
      <w:pPr>
        <w:pStyle w:val="formattext"/>
        <w:ind w:firstLine="709"/>
        <w:rPr>
          <w:sz w:val="28"/>
          <w:szCs w:val="28"/>
        </w:rPr>
      </w:pPr>
      <w:r w:rsidRPr="000248D2">
        <w:rPr>
          <w:sz w:val="28"/>
          <w:szCs w:val="28"/>
        </w:rPr>
        <w:lastRenderedPageBreak/>
        <w:t xml:space="preserve">Выдача неопубликованных материалов, содержащихся в отдельной папке (подборки ксерокопий публикаций по какой - то теме, персоне и т.п.) учитывается по числу папок, выданных пользователю. </w:t>
      </w:r>
    </w:p>
    <w:p w:rsidR="000F0F0C" w:rsidRPr="000248D2" w:rsidRDefault="00B518DB" w:rsidP="000248D2">
      <w:pPr>
        <w:pStyle w:val="formattext"/>
        <w:ind w:firstLine="709"/>
        <w:rPr>
          <w:sz w:val="28"/>
          <w:szCs w:val="28"/>
        </w:rPr>
      </w:pPr>
      <w:r w:rsidRPr="000248D2">
        <w:rPr>
          <w:sz w:val="28"/>
          <w:szCs w:val="28"/>
        </w:rPr>
        <w:t>Единицей учета выдачи сетевых локальных и инсталлированных документов, сетевых удаленных</w:t>
      </w:r>
      <w:r w:rsidR="00891E6C" w:rsidRPr="000248D2">
        <w:rPr>
          <w:sz w:val="28"/>
          <w:szCs w:val="28"/>
        </w:rPr>
        <w:t xml:space="preserve"> </w:t>
      </w:r>
      <w:r w:rsidRPr="000248D2">
        <w:rPr>
          <w:sz w:val="28"/>
          <w:szCs w:val="28"/>
        </w:rPr>
        <w:t>документов (выгруженных, открытых для просмотра) является 1 файл (полный текст документа, статья, реферат, изображение, книга), как неделимая единица представления электронного документа по запросу пользователя.</w:t>
      </w:r>
      <w:r w:rsidR="00891E6C" w:rsidRPr="000248D2">
        <w:rPr>
          <w:sz w:val="28"/>
          <w:szCs w:val="28"/>
        </w:rPr>
        <w:t xml:space="preserve"> </w:t>
      </w:r>
      <w:r w:rsidRPr="000248D2">
        <w:rPr>
          <w:sz w:val="28"/>
          <w:szCs w:val="28"/>
        </w:rPr>
        <w:t>Как одна единица учитывается каждый полнотекстовый электронный документ, имеющий самостоятельное заглавие.</w:t>
      </w:r>
    </w:p>
    <w:p w:rsidR="00CB0227" w:rsidRPr="000248D2" w:rsidRDefault="00CB0227" w:rsidP="000248D2">
      <w:pPr>
        <w:pStyle w:val="formattext"/>
        <w:ind w:firstLine="709"/>
        <w:rPr>
          <w:sz w:val="28"/>
          <w:szCs w:val="28"/>
        </w:rPr>
      </w:pPr>
      <w:r w:rsidRPr="000248D2">
        <w:rPr>
          <w:sz w:val="28"/>
          <w:szCs w:val="28"/>
        </w:rPr>
        <w:t>Учет выдачи документов производится по числу выданных экземпляров</w:t>
      </w:r>
      <w:r w:rsidR="00A26352" w:rsidRPr="000248D2">
        <w:rPr>
          <w:sz w:val="28"/>
          <w:szCs w:val="28"/>
        </w:rPr>
        <w:t>,</w:t>
      </w:r>
      <w:r w:rsidRPr="000248D2">
        <w:rPr>
          <w:sz w:val="28"/>
          <w:szCs w:val="28"/>
        </w:rPr>
        <w:t xml:space="preserve"> зафиксированному в первичной учетной документации. Учитывается количество документов, по которым продлен срок пользования (в условных единицах учета), при этом каждое продление срока выдачи документа по инициативе пользователя подсчитывается в качестве самостоятельной выдачи</w:t>
      </w:r>
      <w:r w:rsidR="00B518DB" w:rsidRPr="000248D2">
        <w:rPr>
          <w:sz w:val="28"/>
          <w:szCs w:val="28"/>
        </w:rPr>
        <w:t>.</w:t>
      </w:r>
      <w:r w:rsidR="000F0F0C" w:rsidRPr="000248D2">
        <w:rPr>
          <w:sz w:val="28"/>
          <w:szCs w:val="28"/>
        </w:rPr>
        <w:t xml:space="preserve"> Учет выдач электронных документов, расположенных на веб-сайте библиотеки, производится по количеству загрузок файлов. </w:t>
      </w:r>
    </w:p>
    <w:p w:rsidR="00F06FBF" w:rsidRPr="000248D2" w:rsidRDefault="00F06FBF" w:rsidP="000248D2">
      <w:pPr>
        <w:pStyle w:val="formattext"/>
        <w:ind w:firstLine="709"/>
        <w:rPr>
          <w:sz w:val="28"/>
          <w:szCs w:val="28"/>
        </w:rPr>
      </w:pPr>
      <w:r w:rsidRPr="000248D2">
        <w:rPr>
          <w:sz w:val="28"/>
          <w:szCs w:val="28"/>
        </w:rPr>
        <w:t>В читальных залах с открытым доступом к фондам учет выдачи ведется путем подсчета документов, снятых пользователем для работы с полок, возвращаемых после использования библиотекарю и зафиксированных в учетной документации.</w:t>
      </w:r>
    </w:p>
    <w:p w:rsidR="002D6784" w:rsidRPr="000248D2" w:rsidRDefault="000F0F0C" w:rsidP="000248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sz w:val="28"/>
          <w:szCs w:val="28"/>
        </w:rPr>
        <w:t>При выдаче документов из одного структурного подразделения библиотеки в другое, учет выдачи производится лишь тем структурным подразделением, которое непосредственно осуществляет выдачу документов пользователю.</w:t>
      </w:r>
    </w:p>
    <w:p w:rsidR="002451CF" w:rsidRDefault="002451CF" w:rsidP="000248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sz w:val="28"/>
          <w:szCs w:val="28"/>
        </w:rPr>
        <w:t>Учет общего числа выданных документов проводится суммированием числа экземпляров, учтенных каждым структурным подразделением библиотеки.</w:t>
      </w:r>
      <w:r w:rsidR="004B6209">
        <w:rPr>
          <w:rFonts w:ascii="Times New Roman" w:hAnsi="Times New Roman" w:cs="Times New Roman"/>
          <w:sz w:val="28"/>
          <w:szCs w:val="28"/>
        </w:rPr>
        <w:t xml:space="preserve"> </w:t>
      </w:r>
      <w:r w:rsidR="004B6209" w:rsidRPr="000248D2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4B6209">
        <w:rPr>
          <w:rFonts w:ascii="Times New Roman" w:hAnsi="Times New Roman" w:cs="Times New Roman"/>
          <w:sz w:val="28"/>
          <w:szCs w:val="28"/>
        </w:rPr>
        <w:t>документовыдач</w:t>
      </w:r>
      <w:r w:rsidR="004B6209" w:rsidRPr="000248D2">
        <w:rPr>
          <w:rFonts w:ascii="Times New Roman" w:hAnsi="Times New Roman" w:cs="Times New Roman"/>
          <w:sz w:val="28"/>
          <w:szCs w:val="28"/>
        </w:rPr>
        <w:t xml:space="preserve"> определяется на основании данных выгрузки автоматизированных систем учета, данных дневников структурных подразделений, формуляров пользователей, формуляров и/или учетных листков всех форм внестационарного обслуживания.</w:t>
      </w:r>
    </w:p>
    <w:p w:rsidR="00005E9D" w:rsidRPr="000248D2" w:rsidRDefault="00005E9D" w:rsidP="00005E9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внесения статистических показателей в ф</w:t>
      </w:r>
      <w:r w:rsidRPr="00936739">
        <w:rPr>
          <w:rFonts w:ascii="Times New Roman" w:hAnsi="Times New Roman" w:cs="Times New Roman"/>
          <w:sz w:val="28"/>
          <w:szCs w:val="28"/>
        </w:rPr>
        <w:t>орму федерального статистического наблюдения № 6-НК</w:t>
      </w:r>
      <w:r>
        <w:rPr>
          <w:rFonts w:ascii="Times New Roman" w:hAnsi="Times New Roman" w:cs="Times New Roman"/>
          <w:sz w:val="28"/>
          <w:szCs w:val="28"/>
        </w:rPr>
        <w:t xml:space="preserve">, учет </w:t>
      </w:r>
      <w:r w:rsidRPr="000248D2">
        <w:rPr>
          <w:rFonts w:ascii="Times New Roman" w:hAnsi="Times New Roman" w:cs="Times New Roman"/>
          <w:sz w:val="28"/>
          <w:szCs w:val="28"/>
        </w:rPr>
        <w:t>осуществляется по следующим параметрам:</w:t>
      </w:r>
    </w:p>
    <w:p w:rsidR="00005E9D" w:rsidRPr="000248D2" w:rsidRDefault="00005E9D" w:rsidP="00005E9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sz w:val="28"/>
          <w:szCs w:val="28"/>
        </w:rPr>
        <w:lastRenderedPageBreak/>
        <w:t xml:space="preserve">- количество </w:t>
      </w:r>
      <w:r>
        <w:rPr>
          <w:rFonts w:ascii="Times New Roman" w:hAnsi="Times New Roman" w:cs="Times New Roman"/>
          <w:sz w:val="28"/>
          <w:szCs w:val="28"/>
        </w:rPr>
        <w:t>документовыдач</w:t>
      </w:r>
      <w:r w:rsidRPr="000248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стационарном режиме</w:t>
      </w:r>
      <w:r w:rsidRPr="000248D2">
        <w:rPr>
          <w:rFonts w:ascii="Times New Roman" w:hAnsi="Times New Roman" w:cs="Times New Roman"/>
          <w:sz w:val="28"/>
          <w:szCs w:val="28"/>
        </w:rPr>
        <w:t>:</w:t>
      </w:r>
    </w:p>
    <w:p w:rsidR="00005E9D" w:rsidRPr="000248D2" w:rsidRDefault="00005E9D" w:rsidP="00005E9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для детей</w:t>
      </w:r>
      <w:r w:rsidRPr="000248D2">
        <w:rPr>
          <w:rFonts w:ascii="Times New Roman" w:hAnsi="Times New Roman" w:cs="Times New Roman"/>
          <w:sz w:val="28"/>
          <w:szCs w:val="28"/>
        </w:rPr>
        <w:t xml:space="preserve"> до 14 лет включительно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5E9D" w:rsidRPr="000248D2" w:rsidRDefault="00005E9D" w:rsidP="00005E9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0248D2">
        <w:rPr>
          <w:rFonts w:ascii="Times New Roman" w:hAnsi="Times New Roman" w:cs="Times New Roman"/>
          <w:sz w:val="28"/>
          <w:szCs w:val="28"/>
        </w:rPr>
        <w:t>молодежи 15-30 лет включительно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05E9D" w:rsidRDefault="00005E9D" w:rsidP="00005E9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sz w:val="28"/>
          <w:szCs w:val="28"/>
        </w:rPr>
        <w:t xml:space="preserve">- количество </w:t>
      </w:r>
      <w:r>
        <w:rPr>
          <w:rFonts w:ascii="Times New Roman" w:hAnsi="Times New Roman" w:cs="Times New Roman"/>
          <w:sz w:val="28"/>
          <w:szCs w:val="28"/>
        </w:rPr>
        <w:t>документовыдач во внестационарном режиме, в том числе в удаленном.</w:t>
      </w:r>
    </w:p>
    <w:p w:rsidR="00005E9D" w:rsidRPr="000248D2" w:rsidRDefault="00005E9D" w:rsidP="00005E9D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аналитического анализа деятельности библиотек также необходим учет документовыдач</w:t>
      </w:r>
      <w:r w:rsidRPr="000248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 внестационарном режиме детям до 14 лет </w:t>
      </w:r>
      <w:r w:rsidRPr="000248D2">
        <w:rPr>
          <w:rFonts w:ascii="Times New Roman" w:hAnsi="Times New Roman" w:cs="Times New Roman"/>
          <w:sz w:val="28"/>
          <w:szCs w:val="28"/>
        </w:rPr>
        <w:t>включительно</w:t>
      </w:r>
      <w:r>
        <w:rPr>
          <w:rFonts w:ascii="Times New Roman" w:hAnsi="Times New Roman" w:cs="Times New Roman"/>
          <w:sz w:val="28"/>
          <w:szCs w:val="28"/>
        </w:rPr>
        <w:t xml:space="preserve"> и молодежи </w:t>
      </w:r>
      <w:r w:rsidRPr="000248D2">
        <w:rPr>
          <w:rFonts w:ascii="Times New Roman" w:hAnsi="Times New Roman" w:cs="Times New Roman"/>
          <w:sz w:val="28"/>
          <w:szCs w:val="28"/>
        </w:rPr>
        <w:t>15-30 лет 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E9D" w:rsidRPr="000248D2" w:rsidRDefault="00005E9D" w:rsidP="000248D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5281B" w:rsidRPr="000248D2" w:rsidRDefault="008B5DE2" w:rsidP="000248D2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6. </w:t>
      </w:r>
      <w:r w:rsidR="00A5281B" w:rsidRPr="000248D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Учет мероприятий</w:t>
      </w:r>
    </w:p>
    <w:p w:rsidR="00881945" w:rsidRPr="000248D2" w:rsidRDefault="00A5281B" w:rsidP="000248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sz w:val="28"/>
          <w:szCs w:val="28"/>
        </w:rPr>
        <w:t xml:space="preserve">Единицей учета библиотечного мероприятия является одно целевым образом организованное событие вне зависимости от времени его протекания. </w:t>
      </w:r>
    </w:p>
    <w:p w:rsidR="00881945" w:rsidRPr="000248D2" w:rsidRDefault="00A5281B" w:rsidP="000248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sz w:val="28"/>
          <w:szCs w:val="28"/>
        </w:rPr>
        <w:t xml:space="preserve">Мероприятие, включающее одновременно проведение различных форм (например, выставку и устный библиографический обзор), учитывается как одно мероприятие согласно доминирующей форме. </w:t>
      </w:r>
    </w:p>
    <w:p w:rsidR="00881945" w:rsidRPr="000248D2" w:rsidRDefault="00A5281B" w:rsidP="000248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sz w:val="28"/>
          <w:szCs w:val="28"/>
        </w:rPr>
        <w:t xml:space="preserve">Мероприятие, в организации и/или проведении которого принимали участие несколько структурных подразделений библиотеки, учитывается один раз за подразделением, несущим за него ответственность. </w:t>
      </w:r>
    </w:p>
    <w:p w:rsidR="00A5281B" w:rsidRDefault="00A5281B" w:rsidP="000248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sz w:val="28"/>
          <w:szCs w:val="28"/>
        </w:rPr>
        <w:t>Учитываются библиотечные мероприятия, проведенные в помещении библиотеки, во внестационарном режиме, в том числе в мобильных пунктах обслуживания и мероприятия, выполненные в рамках дистанционного обслуживания</w:t>
      </w:r>
      <w:r w:rsidR="002451CF" w:rsidRPr="000248D2">
        <w:rPr>
          <w:rFonts w:ascii="Times New Roman" w:hAnsi="Times New Roman" w:cs="Times New Roman"/>
          <w:sz w:val="28"/>
          <w:szCs w:val="28"/>
        </w:rPr>
        <w:t xml:space="preserve"> (сетевые конкурсы, акции, проекты, видеообзоры, виртуальные выставки, вебинары, просветительские лекции и тому подобное)</w:t>
      </w:r>
      <w:r w:rsidRPr="000248D2">
        <w:rPr>
          <w:rFonts w:ascii="Times New Roman" w:hAnsi="Times New Roman" w:cs="Times New Roman"/>
          <w:sz w:val="28"/>
          <w:szCs w:val="28"/>
        </w:rPr>
        <w:t>.</w:t>
      </w:r>
    </w:p>
    <w:p w:rsidR="004B6209" w:rsidRDefault="004B6209" w:rsidP="000248D2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sz w:val="28"/>
          <w:szCs w:val="28"/>
        </w:rPr>
        <w:t xml:space="preserve">Количество </w:t>
      </w:r>
      <w:r>
        <w:rPr>
          <w:rFonts w:ascii="Times New Roman" w:hAnsi="Times New Roman" w:cs="Times New Roman"/>
          <w:sz w:val="28"/>
          <w:szCs w:val="28"/>
        </w:rPr>
        <w:t>библиотечных мероприятий</w:t>
      </w:r>
      <w:r w:rsidRPr="000248D2">
        <w:rPr>
          <w:rFonts w:ascii="Times New Roman" w:hAnsi="Times New Roman" w:cs="Times New Roman"/>
          <w:sz w:val="28"/>
          <w:szCs w:val="28"/>
        </w:rPr>
        <w:t xml:space="preserve"> определяется на основании данных выгрузки автоматизированных систем учета, данных днев</w:t>
      </w:r>
      <w:r>
        <w:rPr>
          <w:rFonts w:ascii="Times New Roman" w:hAnsi="Times New Roman" w:cs="Times New Roman"/>
          <w:sz w:val="28"/>
          <w:szCs w:val="28"/>
        </w:rPr>
        <w:t>ников структурных подразделений</w:t>
      </w:r>
      <w:r w:rsidRPr="000248D2">
        <w:rPr>
          <w:rFonts w:ascii="Times New Roman" w:hAnsi="Times New Roman" w:cs="Times New Roman"/>
          <w:sz w:val="28"/>
          <w:szCs w:val="28"/>
        </w:rPr>
        <w:t>.</w:t>
      </w:r>
    </w:p>
    <w:p w:rsidR="00936739" w:rsidRPr="000248D2" w:rsidRDefault="00936739" w:rsidP="0093673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внесения статистических показателей в ф</w:t>
      </w:r>
      <w:r w:rsidRPr="00936739">
        <w:rPr>
          <w:rFonts w:ascii="Times New Roman" w:hAnsi="Times New Roman" w:cs="Times New Roman"/>
          <w:sz w:val="28"/>
          <w:szCs w:val="28"/>
        </w:rPr>
        <w:t>орму федерального статистического наблюдения № 6-НК</w:t>
      </w:r>
      <w:r>
        <w:rPr>
          <w:rFonts w:ascii="Times New Roman" w:hAnsi="Times New Roman" w:cs="Times New Roman"/>
          <w:sz w:val="28"/>
          <w:szCs w:val="28"/>
        </w:rPr>
        <w:t>, учет мероприятий</w:t>
      </w:r>
      <w:r w:rsidRPr="000248D2">
        <w:rPr>
          <w:rFonts w:ascii="Times New Roman" w:hAnsi="Times New Roman" w:cs="Times New Roman"/>
          <w:sz w:val="28"/>
          <w:szCs w:val="28"/>
        </w:rPr>
        <w:t xml:space="preserve"> осуществляется по следующим параметрам:</w:t>
      </w:r>
    </w:p>
    <w:p w:rsidR="00936739" w:rsidRPr="000248D2" w:rsidRDefault="00936739" w:rsidP="0093673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sz w:val="28"/>
          <w:szCs w:val="28"/>
        </w:rPr>
        <w:lastRenderedPageBreak/>
        <w:t xml:space="preserve">- количество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Pr="000248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проведенных по месту расположения библиотеки</w:t>
      </w:r>
      <w:r w:rsidRPr="000248D2">
        <w:rPr>
          <w:rFonts w:ascii="Times New Roman" w:hAnsi="Times New Roman" w:cs="Times New Roman"/>
          <w:sz w:val="28"/>
          <w:szCs w:val="28"/>
        </w:rPr>
        <w:t>:</w:t>
      </w:r>
    </w:p>
    <w:p w:rsidR="00936739" w:rsidRPr="000248D2" w:rsidRDefault="00936739" w:rsidP="0093673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для детей</w:t>
      </w:r>
      <w:r w:rsidRPr="000248D2">
        <w:rPr>
          <w:rFonts w:ascii="Times New Roman" w:hAnsi="Times New Roman" w:cs="Times New Roman"/>
          <w:sz w:val="28"/>
          <w:szCs w:val="28"/>
        </w:rPr>
        <w:t xml:space="preserve"> до 14 лет включительно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6739" w:rsidRPr="000248D2" w:rsidRDefault="00936739" w:rsidP="0093673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0248D2">
        <w:rPr>
          <w:rFonts w:ascii="Times New Roman" w:hAnsi="Times New Roman" w:cs="Times New Roman"/>
          <w:sz w:val="28"/>
          <w:szCs w:val="28"/>
        </w:rPr>
        <w:t>молодежи 15-30 лет включительно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36739" w:rsidRDefault="00936739" w:rsidP="0093673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sz w:val="28"/>
          <w:szCs w:val="28"/>
        </w:rPr>
        <w:t xml:space="preserve">- количество </w:t>
      </w:r>
      <w:r>
        <w:rPr>
          <w:rFonts w:ascii="Times New Roman" w:hAnsi="Times New Roman" w:cs="Times New Roman"/>
          <w:sz w:val="28"/>
          <w:szCs w:val="28"/>
        </w:rPr>
        <w:t>выездных мероприятий, в том числе в удаленном режиме.</w:t>
      </w:r>
    </w:p>
    <w:p w:rsidR="00936739" w:rsidRPr="000248D2" w:rsidRDefault="00936739" w:rsidP="0093673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аналитического анализа деятельности библиотек</w:t>
      </w:r>
      <w:r w:rsidR="00E36153">
        <w:rPr>
          <w:rFonts w:ascii="Times New Roman" w:hAnsi="Times New Roman" w:cs="Times New Roman"/>
          <w:sz w:val="28"/>
          <w:szCs w:val="28"/>
        </w:rPr>
        <w:t xml:space="preserve"> также необходим учет выездных мероприятий для целевой аудитории до 14 лет </w:t>
      </w:r>
      <w:r w:rsidR="00E36153" w:rsidRPr="000248D2">
        <w:rPr>
          <w:rFonts w:ascii="Times New Roman" w:hAnsi="Times New Roman" w:cs="Times New Roman"/>
          <w:sz w:val="28"/>
          <w:szCs w:val="28"/>
        </w:rPr>
        <w:t>включительно</w:t>
      </w:r>
      <w:r w:rsidR="00E36153">
        <w:rPr>
          <w:rFonts w:ascii="Times New Roman" w:hAnsi="Times New Roman" w:cs="Times New Roman"/>
          <w:sz w:val="28"/>
          <w:szCs w:val="28"/>
        </w:rPr>
        <w:t xml:space="preserve"> и </w:t>
      </w:r>
      <w:r w:rsidR="00E36153" w:rsidRPr="000248D2">
        <w:rPr>
          <w:rFonts w:ascii="Times New Roman" w:hAnsi="Times New Roman" w:cs="Times New Roman"/>
          <w:sz w:val="28"/>
          <w:szCs w:val="28"/>
        </w:rPr>
        <w:t>15-30 лет включительно</w:t>
      </w:r>
      <w:r w:rsidR="00E36153">
        <w:rPr>
          <w:rFonts w:ascii="Times New Roman" w:hAnsi="Times New Roman" w:cs="Times New Roman"/>
          <w:sz w:val="28"/>
          <w:szCs w:val="28"/>
        </w:rPr>
        <w:t>.</w:t>
      </w:r>
    </w:p>
    <w:p w:rsidR="00936739" w:rsidRPr="000248D2" w:rsidRDefault="00936739" w:rsidP="000248D2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A5281B" w:rsidRPr="000248D2" w:rsidRDefault="008B5DE2" w:rsidP="000248D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Уче</w:t>
      </w:r>
      <w:r w:rsidR="002521CE" w:rsidRPr="000248D2">
        <w:rPr>
          <w:rFonts w:ascii="Times New Roman" w:hAnsi="Times New Roman" w:cs="Times New Roman"/>
          <w:b/>
          <w:sz w:val="28"/>
          <w:szCs w:val="28"/>
        </w:rPr>
        <w:t>т справок и консультаций</w:t>
      </w:r>
    </w:p>
    <w:p w:rsidR="00881945" w:rsidRPr="000248D2" w:rsidRDefault="00881945" w:rsidP="000248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sz w:val="28"/>
          <w:szCs w:val="28"/>
        </w:rPr>
        <w:t>Единицей учета справочно-библиографического обслуживания является:</w:t>
      </w:r>
    </w:p>
    <w:p w:rsidR="00881945" w:rsidRPr="000248D2" w:rsidRDefault="00881945" w:rsidP="000248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sz w:val="28"/>
          <w:szCs w:val="28"/>
        </w:rPr>
        <w:t>- справка;</w:t>
      </w:r>
    </w:p>
    <w:p w:rsidR="00881945" w:rsidRPr="000248D2" w:rsidRDefault="00881945" w:rsidP="000248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sz w:val="28"/>
          <w:szCs w:val="28"/>
        </w:rPr>
        <w:t>- консультация.</w:t>
      </w:r>
    </w:p>
    <w:p w:rsidR="00881945" w:rsidRPr="000248D2" w:rsidRDefault="00881945" w:rsidP="000248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sz w:val="28"/>
          <w:szCs w:val="28"/>
        </w:rPr>
        <w:t>Учет справок, выданных различным категориям пользователей, осуществляется</w:t>
      </w:r>
      <w:r w:rsidR="003E2559">
        <w:rPr>
          <w:rFonts w:ascii="Times New Roman" w:hAnsi="Times New Roman" w:cs="Times New Roman"/>
          <w:sz w:val="28"/>
          <w:szCs w:val="28"/>
        </w:rPr>
        <w:t xml:space="preserve"> </w:t>
      </w:r>
      <w:r w:rsidRPr="000248D2">
        <w:rPr>
          <w:rFonts w:ascii="Times New Roman" w:hAnsi="Times New Roman" w:cs="Times New Roman"/>
          <w:sz w:val="28"/>
          <w:szCs w:val="28"/>
        </w:rPr>
        <w:t>по следующим параметрам:</w:t>
      </w:r>
    </w:p>
    <w:p w:rsidR="00881945" w:rsidRPr="000248D2" w:rsidRDefault="00881945" w:rsidP="000248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sz w:val="28"/>
          <w:szCs w:val="28"/>
        </w:rPr>
        <w:t>- количество справок, выданных пользователям при непосредственном посещении</w:t>
      </w:r>
      <w:r w:rsidR="00936739">
        <w:rPr>
          <w:rFonts w:ascii="Times New Roman" w:hAnsi="Times New Roman" w:cs="Times New Roman"/>
          <w:sz w:val="28"/>
          <w:szCs w:val="28"/>
        </w:rPr>
        <w:t xml:space="preserve"> </w:t>
      </w:r>
      <w:r w:rsidRPr="000248D2">
        <w:rPr>
          <w:rFonts w:ascii="Times New Roman" w:hAnsi="Times New Roman" w:cs="Times New Roman"/>
          <w:sz w:val="28"/>
          <w:szCs w:val="28"/>
        </w:rPr>
        <w:t>библиотеки;</w:t>
      </w:r>
    </w:p>
    <w:p w:rsidR="00881945" w:rsidRPr="000248D2" w:rsidRDefault="00881945" w:rsidP="000248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sz w:val="28"/>
          <w:szCs w:val="28"/>
        </w:rPr>
        <w:t>- количество справок, выданных удаленным пользователям в целом и дифференцированно по используемым библиотекой каналам коммуникации (телефону, почте, системе виртуального справочно-библиографического обслуживания, электронной почте, на аккаунты пользователей в социальных сетях).</w:t>
      </w:r>
    </w:p>
    <w:p w:rsidR="00881945" w:rsidRPr="000248D2" w:rsidRDefault="00881945" w:rsidP="000248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sz w:val="28"/>
          <w:szCs w:val="28"/>
        </w:rPr>
        <w:t>Подсчет количества выданных справок осуществляется согласно их типологии:</w:t>
      </w:r>
    </w:p>
    <w:p w:rsidR="00881945" w:rsidRPr="000248D2" w:rsidRDefault="00881945" w:rsidP="000248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sz w:val="28"/>
          <w:szCs w:val="28"/>
        </w:rPr>
        <w:t>- адресная справка;</w:t>
      </w:r>
    </w:p>
    <w:p w:rsidR="00881945" w:rsidRPr="000248D2" w:rsidRDefault="00881945" w:rsidP="000248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sz w:val="28"/>
          <w:szCs w:val="28"/>
        </w:rPr>
        <w:t>- тематическая библиографическая справка;</w:t>
      </w:r>
    </w:p>
    <w:p w:rsidR="00881945" w:rsidRPr="000248D2" w:rsidRDefault="00881945" w:rsidP="000248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sz w:val="28"/>
          <w:szCs w:val="28"/>
        </w:rPr>
        <w:t>- уточняющая библиографическая справка;</w:t>
      </w:r>
    </w:p>
    <w:p w:rsidR="00881945" w:rsidRPr="000248D2" w:rsidRDefault="00881945" w:rsidP="000248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sz w:val="28"/>
          <w:szCs w:val="28"/>
        </w:rPr>
        <w:t>- фактографическая справка;</w:t>
      </w:r>
    </w:p>
    <w:p w:rsidR="00881945" w:rsidRPr="000248D2" w:rsidRDefault="00881945" w:rsidP="000248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sz w:val="28"/>
          <w:szCs w:val="28"/>
        </w:rPr>
        <w:t>- библиографическая консультация;</w:t>
      </w:r>
    </w:p>
    <w:p w:rsidR="00881945" w:rsidRPr="000248D2" w:rsidRDefault="00881945" w:rsidP="000248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sz w:val="28"/>
          <w:szCs w:val="28"/>
        </w:rPr>
        <w:t>- переадресование.</w:t>
      </w:r>
    </w:p>
    <w:p w:rsidR="00881945" w:rsidRPr="000248D2" w:rsidRDefault="00881945" w:rsidP="000248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sz w:val="28"/>
          <w:szCs w:val="28"/>
        </w:rPr>
        <w:t>Подсчет предоставленных библиотекой консультаций осуществляется по основным</w:t>
      </w:r>
    </w:p>
    <w:p w:rsidR="00881945" w:rsidRPr="000248D2" w:rsidRDefault="00881945" w:rsidP="000248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sz w:val="28"/>
          <w:szCs w:val="28"/>
        </w:rPr>
        <w:t>их видам:</w:t>
      </w:r>
    </w:p>
    <w:p w:rsidR="00881945" w:rsidRPr="000248D2" w:rsidRDefault="00881945" w:rsidP="000248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sz w:val="28"/>
          <w:szCs w:val="28"/>
        </w:rPr>
        <w:t>- библиографическая консультация;</w:t>
      </w:r>
    </w:p>
    <w:p w:rsidR="00881945" w:rsidRPr="000248D2" w:rsidRDefault="00881945" w:rsidP="000248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sz w:val="28"/>
          <w:szCs w:val="28"/>
        </w:rPr>
        <w:lastRenderedPageBreak/>
        <w:t>- ориентирующая консультация и справка по библиотеке (о режиме, порядке и условиях библиотечно-информационного обслуживания; о направлениях деятельности и функциях структурных подразделений библиотеки; о проводимых мероприятиях), ее услугам и ресурсам;</w:t>
      </w:r>
    </w:p>
    <w:p w:rsidR="00881945" w:rsidRPr="000248D2" w:rsidRDefault="00881945" w:rsidP="000248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sz w:val="28"/>
          <w:szCs w:val="28"/>
        </w:rPr>
        <w:t>- вспомогательно-техническая консультация (по использованию оборудования и аппаратно-программных средств для осуществления электронного заказа, просмотра электронных документов, сохранения и переноса информации на другие носители и т.д.);</w:t>
      </w:r>
    </w:p>
    <w:p w:rsidR="00881945" w:rsidRPr="000248D2" w:rsidRDefault="00881945" w:rsidP="000248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sz w:val="28"/>
          <w:szCs w:val="28"/>
        </w:rPr>
        <w:t>- факультативная консультация, выполненная на легитимном основании в помещении библиотеки отдельными специалистами (юрист, педагог, психолог и др.), если их проведение предусмотрено уставными документами библиотеки.</w:t>
      </w:r>
    </w:p>
    <w:p w:rsidR="00A5281B" w:rsidRDefault="00881945" w:rsidP="000248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sz w:val="28"/>
          <w:szCs w:val="28"/>
        </w:rPr>
        <w:t>Учет справки и консультации, в выполнении которой было занято несколько подразделений библиотеки, осуществляется подразделением, предоставившим ответ пользователю.</w:t>
      </w:r>
    </w:p>
    <w:p w:rsidR="000248D2" w:rsidRPr="000248D2" w:rsidRDefault="00936739" w:rsidP="000248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внесения статистических показателей в ф</w:t>
      </w:r>
      <w:r w:rsidRPr="00936739">
        <w:rPr>
          <w:rFonts w:ascii="Times New Roman" w:hAnsi="Times New Roman" w:cs="Times New Roman"/>
          <w:sz w:val="28"/>
          <w:szCs w:val="28"/>
        </w:rPr>
        <w:t>орму федерального статистического наблюдения № 6-НК</w:t>
      </w:r>
      <w:r>
        <w:rPr>
          <w:rFonts w:ascii="Times New Roman" w:hAnsi="Times New Roman" w:cs="Times New Roman"/>
          <w:sz w:val="28"/>
          <w:szCs w:val="28"/>
        </w:rPr>
        <w:t>, у</w:t>
      </w:r>
      <w:r w:rsidR="00616CEA">
        <w:rPr>
          <w:rFonts w:ascii="Times New Roman" w:hAnsi="Times New Roman" w:cs="Times New Roman"/>
          <w:sz w:val="28"/>
          <w:szCs w:val="28"/>
        </w:rPr>
        <w:t>чет</w:t>
      </w:r>
      <w:r w:rsidR="000248D2">
        <w:rPr>
          <w:rFonts w:ascii="Times New Roman" w:hAnsi="Times New Roman" w:cs="Times New Roman"/>
          <w:sz w:val="28"/>
          <w:szCs w:val="28"/>
        </w:rPr>
        <w:t xml:space="preserve"> справок и </w:t>
      </w:r>
      <w:r w:rsidR="000248D2" w:rsidRPr="000248D2">
        <w:rPr>
          <w:rFonts w:ascii="Times New Roman" w:hAnsi="Times New Roman" w:cs="Times New Roman"/>
          <w:sz w:val="28"/>
          <w:szCs w:val="28"/>
        </w:rPr>
        <w:t>консультаций осуществляется по следующим параметрам:</w:t>
      </w:r>
    </w:p>
    <w:p w:rsidR="000248D2" w:rsidRPr="000248D2" w:rsidRDefault="000248D2" w:rsidP="000248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sz w:val="28"/>
          <w:szCs w:val="28"/>
        </w:rPr>
        <w:t xml:space="preserve">- количество справок/консультаций, </w:t>
      </w:r>
      <w:r w:rsidR="00616CEA">
        <w:rPr>
          <w:rFonts w:ascii="Times New Roman" w:hAnsi="Times New Roman" w:cs="Times New Roman"/>
          <w:sz w:val="28"/>
          <w:szCs w:val="28"/>
        </w:rPr>
        <w:t>выполненных в стационарных условиях</w:t>
      </w:r>
      <w:r w:rsidRPr="000248D2">
        <w:rPr>
          <w:rFonts w:ascii="Times New Roman" w:hAnsi="Times New Roman" w:cs="Times New Roman"/>
          <w:sz w:val="28"/>
          <w:szCs w:val="28"/>
        </w:rPr>
        <w:t>:</w:t>
      </w:r>
    </w:p>
    <w:p w:rsidR="000248D2" w:rsidRPr="000248D2" w:rsidRDefault="000248D2" w:rsidP="000248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sz w:val="28"/>
          <w:szCs w:val="28"/>
        </w:rPr>
        <w:t>в том числе детям до 14 лет включительно</w:t>
      </w:r>
      <w:r w:rsidR="00936739">
        <w:rPr>
          <w:rFonts w:ascii="Times New Roman" w:hAnsi="Times New Roman" w:cs="Times New Roman"/>
          <w:sz w:val="28"/>
          <w:szCs w:val="28"/>
        </w:rPr>
        <w:t>;</w:t>
      </w:r>
    </w:p>
    <w:p w:rsidR="000248D2" w:rsidRPr="000248D2" w:rsidRDefault="000248D2" w:rsidP="000248D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sz w:val="28"/>
          <w:szCs w:val="28"/>
        </w:rPr>
        <w:t>в том числе молодежи 15-30 лет включительно</w:t>
      </w:r>
      <w:r w:rsidR="00936739">
        <w:rPr>
          <w:rFonts w:ascii="Times New Roman" w:hAnsi="Times New Roman" w:cs="Times New Roman"/>
          <w:sz w:val="28"/>
          <w:szCs w:val="28"/>
        </w:rPr>
        <w:t>;</w:t>
      </w:r>
    </w:p>
    <w:p w:rsidR="000248D2" w:rsidRPr="000248D2" w:rsidRDefault="000248D2" w:rsidP="00616CEA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248D2">
        <w:rPr>
          <w:rFonts w:ascii="Times New Roman" w:hAnsi="Times New Roman" w:cs="Times New Roman"/>
          <w:sz w:val="28"/>
          <w:szCs w:val="28"/>
        </w:rPr>
        <w:t xml:space="preserve">- количество справок/консультаций, </w:t>
      </w:r>
      <w:r w:rsidR="00616CEA">
        <w:rPr>
          <w:rFonts w:ascii="Times New Roman" w:hAnsi="Times New Roman" w:cs="Times New Roman"/>
          <w:sz w:val="28"/>
          <w:szCs w:val="28"/>
        </w:rPr>
        <w:t>выполненных во внестационарном режиме, в том числе в удаленном режиме по</w:t>
      </w:r>
      <w:r w:rsidRPr="000248D2">
        <w:rPr>
          <w:rFonts w:ascii="Times New Roman" w:hAnsi="Times New Roman" w:cs="Times New Roman"/>
          <w:sz w:val="28"/>
          <w:szCs w:val="28"/>
        </w:rPr>
        <w:t xml:space="preserve"> телефону, почте, системе виртуального справочно</w:t>
      </w:r>
      <w:r w:rsidR="00616CEA">
        <w:rPr>
          <w:rFonts w:ascii="Times New Roman" w:hAnsi="Times New Roman" w:cs="Times New Roman"/>
          <w:sz w:val="28"/>
          <w:szCs w:val="28"/>
        </w:rPr>
        <w:t>-</w:t>
      </w:r>
      <w:r w:rsidRPr="000248D2">
        <w:rPr>
          <w:rFonts w:ascii="Times New Roman" w:hAnsi="Times New Roman" w:cs="Times New Roman"/>
          <w:sz w:val="28"/>
          <w:szCs w:val="28"/>
        </w:rPr>
        <w:t xml:space="preserve">библиографического обслуживания, электронной почте, </w:t>
      </w:r>
      <w:r w:rsidR="00616CEA">
        <w:rPr>
          <w:rFonts w:ascii="Times New Roman" w:hAnsi="Times New Roman" w:cs="Times New Roman"/>
          <w:sz w:val="28"/>
          <w:szCs w:val="28"/>
        </w:rPr>
        <w:t>в социальных сетях</w:t>
      </w:r>
      <w:r w:rsidR="00E36153">
        <w:rPr>
          <w:rFonts w:ascii="Times New Roman" w:hAnsi="Times New Roman" w:cs="Times New Roman"/>
          <w:sz w:val="28"/>
          <w:szCs w:val="28"/>
        </w:rPr>
        <w:t xml:space="preserve"> (при наличии возможности учитываются справки/консультации выполненные </w:t>
      </w:r>
      <w:r w:rsidR="00E36153" w:rsidRPr="000248D2">
        <w:rPr>
          <w:rFonts w:ascii="Times New Roman" w:hAnsi="Times New Roman" w:cs="Times New Roman"/>
          <w:sz w:val="28"/>
          <w:szCs w:val="28"/>
        </w:rPr>
        <w:t>детям до 14 лет включительно</w:t>
      </w:r>
      <w:r w:rsidR="00E36153">
        <w:rPr>
          <w:rFonts w:ascii="Times New Roman" w:hAnsi="Times New Roman" w:cs="Times New Roman"/>
          <w:sz w:val="28"/>
          <w:szCs w:val="28"/>
        </w:rPr>
        <w:t xml:space="preserve"> и </w:t>
      </w:r>
      <w:r w:rsidR="00E36153" w:rsidRPr="000248D2">
        <w:rPr>
          <w:rFonts w:ascii="Times New Roman" w:hAnsi="Times New Roman" w:cs="Times New Roman"/>
          <w:sz w:val="28"/>
          <w:szCs w:val="28"/>
        </w:rPr>
        <w:t>молодежи 15-30 лет включительно</w:t>
      </w:r>
      <w:r w:rsidR="00E36153">
        <w:rPr>
          <w:rFonts w:ascii="Times New Roman" w:hAnsi="Times New Roman" w:cs="Times New Roman"/>
          <w:sz w:val="28"/>
          <w:szCs w:val="28"/>
        </w:rPr>
        <w:t>)</w:t>
      </w:r>
      <w:r w:rsidR="00616CEA">
        <w:rPr>
          <w:rFonts w:ascii="Times New Roman" w:hAnsi="Times New Roman" w:cs="Times New Roman"/>
          <w:sz w:val="28"/>
          <w:szCs w:val="28"/>
        </w:rPr>
        <w:t>.</w:t>
      </w:r>
    </w:p>
    <w:sectPr w:rsidR="000248D2" w:rsidRPr="000248D2" w:rsidSect="0004040A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303" w:rsidRDefault="00DB6303" w:rsidP="00E90571">
      <w:pPr>
        <w:spacing w:after="0" w:line="240" w:lineRule="auto"/>
      </w:pPr>
      <w:r>
        <w:separator/>
      </w:r>
    </w:p>
  </w:endnote>
  <w:endnote w:type="continuationSeparator" w:id="1">
    <w:p w:rsidR="00DB6303" w:rsidRDefault="00DB6303" w:rsidP="00E90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74344"/>
      <w:docPartObj>
        <w:docPartGallery w:val="Page Numbers (Bottom of Page)"/>
        <w:docPartUnique/>
      </w:docPartObj>
    </w:sdtPr>
    <w:sdtContent>
      <w:p w:rsidR="0004040A" w:rsidRDefault="0004040A">
        <w:pPr>
          <w:pStyle w:val="ab"/>
          <w:jc w:val="center"/>
        </w:pPr>
        <w:fldSimple w:instr=" PAGE   \* MERGEFORMAT ">
          <w:r w:rsidR="00D0367C">
            <w:rPr>
              <w:noProof/>
            </w:rPr>
            <w:t>9</w:t>
          </w:r>
        </w:fldSimple>
      </w:p>
    </w:sdtContent>
  </w:sdt>
  <w:p w:rsidR="0004040A" w:rsidRDefault="0004040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303" w:rsidRDefault="00DB6303" w:rsidP="00E90571">
      <w:pPr>
        <w:spacing w:after="0" w:line="240" w:lineRule="auto"/>
      </w:pPr>
      <w:r>
        <w:separator/>
      </w:r>
    </w:p>
  </w:footnote>
  <w:footnote w:type="continuationSeparator" w:id="1">
    <w:p w:rsidR="00DB6303" w:rsidRDefault="00DB6303" w:rsidP="00E90571">
      <w:pPr>
        <w:spacing w:after="0" w:line="240" w:lineRule="auto"/>
      </w:pPr>
      <w:r>
        <w:continuationSeparator/>
      </w:r>
    </w:p>
  </w:footnote>
  <w:footnote w:id="2">
    <w:p w:rsidR="00CB0227" w:rsidRDefault="00CB0227">
      <w:pPr>
        <w:pStyle w:val="a5"/>
      </w:pPr>
      <w:r>
        <w:rPr>
          <w:rStyle w:val="a7"/>
        </w:rPr>
        <w:footnoteRef/>
      </w:r>
      <w:r>
        <w:t xml:space="preserve"> </w:t>
      </w:r>
      <w:r w:rsidRPr="00DD0242">
        <w:t xml:space="preserve">Частые вопросы по заполнению разделов формы федерального статистического наблюдения №6-НК </w:t>
      </w:r>
      <w:r>
        <w:t xml:space="preserve">Электронный  ресурс] // </w:t>
      </w:r>
      <w:r w:rsidRPr="00E90571">
        <w:t>АИС «Статистика»</w:t>
      </w:r>
      <w:r w:rsidRPr="00DD0242">
        <w:t xml:space="preserve"> . –</w:t>
      </w:r>
      <w:r>
        <w:t xml:space="preserve"> </w:t>
      </w:r>
      <w:r w:rsidRPr="00DD0242">
        <w:t>Режим доступа:</w:t>
      </w:r>
      <w:r>
        <w:t xml:space="preserve"> </w:t>
      </w:r>
      <w:hyperlink r:id="rId1" w:history="1">
        <w:r w:rsidRPr="00293DFF">
          <w:rPr>
            <w:rStyle w:val="a8"/>
          </w:rPr>
          <w:t>https://stat.mkrf.ru/questions</w:t>
        </w:r>
      </w:hyperlink>
      <w:r>
        <w:t xml:space="preserve"> (дата обращения: 24</w:t>
      </w:r>
      <w:r w:rsidRPr="00DD0242">
        <w:t>.0</w:t>
      </w:r>
      <w:r>
        <w:t>3</w:t>
      </w:r>
      <w:r w:rsidRPr="00DD0242">
        <w:t>.20</w:t>
      </w:r>
      <w:r>
        <w:t>21</w:t>
      </w:r>
      <w:r w:rsidRPr="00DD0242">
        <w:t>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901" w:type="dxa"/>
      <w:tblLayout w:type="fixed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3119"/>
      <w:gridCol w:w="9782"/>
    </w:tblGrid>
    <w:tr w:rsidR="0004040A" w:rsidRPr="007B4099" w:rsidTr="00351D80">
      <w:trPr>
        <w:trHeight w:val="1095"/>
      </w:trPr>
      <w:tc>
        <w:tcPr>
          <w:tcW w:w="1209" w:type="pct"/>
          <w:tcBorders>
            <w:right w:val="single" w:sz="18" w:space="0" w:color="4F81BD"/>
          </w:tcBorders>
        </w:tcPr>
        <w:p w:rsidR="0004040A" w:rsidRPr="007B4099" w:rsidRDefault="0004040A" w:rsidP="00351D80">
          <w:pPr>
            <w:pStyle w:val="a9"/>
            <w:rPr>
              <w:b/>
              <w:sz w:val="16"/>
              <w:szCs w:val="16"/>
            </w:rPr>
          </w:pPr>
          <w:r w:rsidRPr="007B4099">
            <w:rPr>
              <w:b/>
              <w:noProof/>
              <w:sz w:val="16"/>
              <w:szCs w:val="16"/>
              <w:lang w:eastAsia="ru-RU"/>
            </w:rPr>
            <w:drawing>
              <wp:inline distT="0" distB="0" distL="0" distR="0">
                <wp:extent cx="1724025" cy="542925"/>
                <wp:effectExtent l="19050" t="0" r="9525" b="0"/>
                <wp:docPr id="1" name="Рисунок 2" descr="C:\Users\Иван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C:\Users\Иван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1" w:type="pct"/>
          <w:tcBorders>
            <w:left w:val="single" w:sz="18" w:space="0" w:color="4F81BD"/>
          </w:tcBorders>
        </w:tcPr>
        <w:p w:rsidR="0004040A" w:rsidRPr="00847FCE" w:rsidRDefault="0004040A" w:rsidP="00351D80">
          <w:pPr>
            <w:pStyle w:val="a9"/>
            <w:tabs>
              <w:tab w:val="clear" w:pos="4677"/>
              <w:tab w:val="left" w:pos="7682"/>
              <w:tab w:val="center" w:pos="9667"/>
            </w:tabs>
            <w:jc w:val="both"/>
            <w:rPr>
              <w:b/>
              <w:sz w:val="16"/>
              <w:szCs w:val="16"/>
            </w:rPr>
          </w:pPr>
          <w:r w:rsidRPr="007B4099">
            <w:rPr>
              <w:sz w:val="16"/>
              <w:szCs w:val="16"/>
            </w:rPr>
            <w:t xml:space="preserve"> </w:t>
          </w:r>
          <w:r w:rsidRPr="00847FCE">
            <w:rPr>
              <w:b/>
              <w:sz w:val="16"/>
              <w:szCs w:val="16"/>
            </w:rPr>
            <w:t xml:space="preserve">Муниципальное бюджетное учреждение культуры «Межпоселенческая библиотека </w:t>
          </w:r>
        </w:p>
        <w:p w:rsidR="0004040A" w:rsidRPr="00847FCE" w:rsidRDefault="0004040A" w:rsidP="00351D80">
          <w:pPr>
            <w:pStyle w:val="a9"/>
            <w:tabs>
              <w:tab w:val="clear" w:pos="4677"/>
              <w:tab w:val="left" w:pos="7682"/>
              <w:tab w:val="center" w:pos="9667"/>
            </w:tabs>
            <w:jc w:val="both"/>
            <w:rPr>
              <w:b/>
              <w:sz w:val="16"/>
              <w:szCs w:val="16"/>
            </w:rPr>
          </w:pPr>
          <w:r w:rsidRPr="00847FCE">
            <w:rPr>
              <w:b/>
              <w:sz w:val="16"/>
              <w:szCs w:val="16"/>
            </w:rPr>
            <w:t xml:space="preserve">муниципального образования “Выборгский район” Ленинградской области» </w:t>
          </w:r>
        </w:p>
        <w:p w:rsidR="0004040A" w:rsidRDefault="0004040A" w:rsidP="00351D80">
          <w:pPr>
            <w:pStyle w:val="a9"/>
            <w:tabs>
              <w:tab w:val="clear" w:pos="4677"/>
              <w:tab w:val="left" w:pos="7682"/>
              <w:tab w:val="center" w:pos="9667"/>
            </w:tabs>
            <w:jc w:val="both"/>
            <w:rPr>
              <w:sz w:val="16"/>
              <w:szCs w:val="16"/>
            </w:rPr>
          </w:pPr>
          <w:r w:rsidRPr="007B4099">
            <w:rPr>
              <w:sz w:val="16"/>
              <w:szCs w:val="16"/>
            </w:rPr>
            <w:t xml:space="preserve">(МБУК «Межпоселенческая библиотека Выборгского района») ОКПО 79859317, </w:t>
          </w:r>
        </w:p>
        <w:p w:rsidR="0004040A" w:rsidRDefault="0004040A" w:rsidP="00351D80">
          <w:pPr>
            <w:pStyle w:val="a9"/>
            <w:tabs>
              <w:tab w:val="clear" w:pos="4677"/>
              <w:tab w:val="left" w:pos="7682"/>
              <w:tab w:val="center" w:pos="9667"/>
            </w:tabs>
            <w:jc w:val="both"/>
            <w:rPr>
              <w:sz w:val="16"/>
              <w:szCs w:val="16"/>
            </w:rPr>
          </w:pPr>
          <w:r w:rsidRPr="007B4099">
            <w:rPr>
              <w:sz w:val="16"/>
              <w:szCs w:val="16"/>
            </w:rPr>
            <w:t xml:space="preserve">ОГРН 1064704030775 ИНН 4704067182 / КПП 470401001 188800, Ленинградская область, </w:t>
          </w:r>
        </w:p>
        <w:p w:rsidR="0004040A" w:rsidRDefault="0004040A" w:rsidP="00351D80">
          <w:pPr>
            <w:pStyle w:val="a9"/>
            <w:tabs>
              <w:tab w:val="clear" w:pos="4677"/>
              <w:tab w:val="left" w:pos="7682"/>
              <w:tab w:val="center" w:pos="9667"/>
            </w:tabs>
            <w:jc w:val="both"/>
            <w:rPr>
              <w:sz w:val="16"/>
              <w:szCs w:val="16"/>
            </w:rPr>
          </w:pPr>
          <w:r w:rsidRPr="007B4099">
            <w:rPr>
              <w:sz w:val="16"/>
              <w:szCs w:val="16"/>
            </w:rPr>
            <w:t xml:space="preserve">г. Выборг, ул. Пионерская, 4   Тел./факс: 8 (81378) 2-17-52  Тел./факс: 8 (81378) 2-58-10   </w:t>
          </w:r>
        </w:p>
        <w:p w:rsidR="0004040A" w:rsidRPr="007B4099" w:rsidRDefault="0004040A" w:rsidP="00351D80">
          <w:pPr>
            <w:pStyle w:val="a9"/>
            <w:tabs>
              <w:tab w:val="clear" w:pos="4677"/>
              <w:tab w:val="left" w:pos="7682"/>
              <w:tab w:val="center" w:pos="9667"/>
            </w:tabs>
            <w:jc w:val="both"/>
            <w:rPr>
              <w:rFonts w:ascii="Cambria" w:hAnsi="Cambria"/>
              <w:b/>
              <w:color w:val="4F81BD"/>
              <w:sz w:val="16"/>
              <w:szCs w:val="16"/>
            </w:rPr>
          </w:pPr>
          <w:r w:rsidRPr="007B4099">
            <w:rPr>
              <w:sz w:val="16"/>
              <w:szCs w:val="16"/>
            </w:rPr>
            <w:t>mpb@vbg.ru</w:t>
          </w:r>
        </w:p>
      </w:tc>
    </w:tr>
  </w:tbl>
  <w:p w:rsidR="0004040A" w:rsidRDefault="0004040A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1DC5"/>
    <w:rsid w:val="00005E9D"/>
    <w:rsid w:val="00023483"/>
    <w:rsid w:val="000248D2"/>
    <w:rsid w:val="0004040A"/>
    <w:rsid w:val="00067D42"/>
    <w:rsid w:val="000F0F0C"/>
    <w:rsid w:val="001025A2"/>
    <w:rsid w:val="0011034A"/>
    <w:rsid w:val="0013147D"/>
    <w:rsid w:val="00145FFB"/>
    <w:rsid w:val="00173CF9"/>
    <w:rsid w:val="00181E3A"/>
    <w:rsid w:val="001839C4"/>
    <w:rsid w:val="001A5A74"/>
    <w:rsid w:val="001D6E87"/>
    <w:rsid w:val="001F567D"/>
    <w:rsid w:val="001F6A61"/>
    <w:rsid w:val="00223C31"/>
    <w:rsid w:val="00242B5A"/>
    <w:rsid w:val="002451CF"/>
    <w:rsid w:val="002521CE"/>
    <w:rsid w:val="002D6784"/>
    <w:rsid w:val="00317DF2"/>
    <w:rsid w:val="00332824"/>
    <w:rsid w:val="0035686B"/>
    <w:rsid w:val="00371A42"/>
    <w:rsid w:val="003E1DC5"/>
    <w:rsid w:val="003E2559"/>
    <w:rsid w:val="004359E9"/>
    <w:rsid w:val="004B041F"/>
    <w:rsid w:val="004B6209"/>
    <w:rsid w:val="004E6A70"/>
    <w:rsid w:val="004F0D15"/>
    <w:rsid w:val="005257B5"/>
    <w:rsid w:val="00534433"/>
    <w:rsid w:val="005833A3"/>
    <w:rsid w:val="005E14C4"/>
    <w:rsid w:val="005E3D1D"/>
    <w:rsid w:val="00616CEA"/>
    <w:rsid w:val="00697045"/>
    <w:rsid w:val="007212DA"/>
    <w:rsid w:val="00757EAF"/>
    <w:rsid w:val="00764C4B"/>
    <w:rsid w:val="00790E30"/>
    <w:rsid w:val="00792ADD"/>
    <w:rsid w:val="007D3D7A"/>
    <w:rsid w:val="007F0575"/>
    <w:rsid w:val="008121A0"/>
    <w:rsid w:val="00881945"/>
    <w:rsid w:val="00891E6C"/>
    <w:rsid w:val="008B5DE2"/>
    <w:rsid w:val="009334C2"/>
    <w:rsid w:val="00936739"/>
    <w:rsid w:val="0099305E"/>
    <w:rsid w:val="009A5305"/>
    <w:rsid w:val="009C66AF"/>
    <w:rsid w:val="009D73AD"/>
    <w:rsid w:val="009D7C73"/>
    <w:rsid w:val="00A173F6"/>
    <w:rsid w:val="00A26352"/>
    <w:rsid w:val="00A37620"/>
    <w:rsid w:val="00A5281B"/>
    <w:rsid w:val="00AA0AB7"/>
    <w:rsid w:val="00AE1B8A"/>
    <w:rsid w:val="00B126C6"/>
    <w:rsid w:val="00B21863"/>
    <w:rsid w:val="00B518DB"/>
    <w:rsid w:val="00B56937"/>
    <w:rsid w:val="00B64028"/>
    <w:rsid w:val="00BD0C58"/>
    <w:rsid w:val="00BD16D6"/>
    <w:rsid w:val="00BE7060"/>
    <w:rsid w:val="00CB0227"/>
    <w:rsid w:val="00CB1861"/>
    <w:rsid w:val="00CB31BA"/>
    <w:rsid w:val="00CF5579"/>
    <w:rsid w:val="00D0367C"/>
    <w:rsid w:val="00D12400"/>
    <w:rsid w:val="00D911CB"/>
    <w:rsid w:val="00DB6303"/>
    <w:rsid w:val="00DD0242"/>
    <w:rsid w:val="00E03D4A"/>
    <w:rsid w:val="00E36153"/>
    <w:rsid w:val="00E36689"/>
    <w:rsid w:val="00E62FB3"/>
    <w:rsid w:val="00E7248D"/>
    <w:rsid w:val="00E90571"/>
    <w:rsid w:val="00EF6409"/>
    <w:rsid w:val="00F06FBF"/>
    <w:rsid w:val="00F717D7"/>
    <w:rsid w:val="00FA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0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034A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2D6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E90571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90571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90571"/>
    <w:rPr>
      <w:vertAlign w:val="superscript"/>
    </w:rPr>
  </w:style>
  <w:style w:type="character" w:styleId="a8">
    <w:name w:val="Hyperlink"/>
    <w:basedOn w:val="a0"/>
    <w:uiPriority w:val="99"/>
    <w:unhideWhenUsed/>
    <w:rsid w:val="00DD024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42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42B5A"/>
  </w:style>
  <w:style w:type="paragraph" w:styleId="ab">
    <w:name w:val="footer"/>
    <w:basedOn w:val="a"/>
    <w:link w:val="ac"/>
    <w:uiPriority w:val="99"/>
    <w:unhideWhenUsed/>
    <w:rsid w:val="00242B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42B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tat.mkrf.ru/question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A88D5-01E9-462F-A6BC-DF1404884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13</Pages>
  <Words>2563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</cp:lastModifiedBy>
  <cp:revision>30</cp:revision>
  <dcterms:created xsi:type="dcterms:W3CDTF">2021-03-24T13:21:00Z</dcterms:created>
  <dcterms:modified xsi:type="dcterms:W3CDTF">2021-03-28T12:29:00Z</dcterms:modified>
</cp:coreProperties>
</file>